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OEEEEV+FZHTJW--GB1-0"/>
          <w:b/>
          <w:sz w:val="36"/>
          <w:szCs w:val="36"/>
        </w:rPr>
      </w:pPr>
      <w:bookmarkStart w:id="2" w:name="_GoBack"/>
      <w:bookmarkEnd w:id="2"/>
      <w:r>
        <w:rPr>
          <w:rFonts w:ascii="黑体" w:hAnsi="黑体" w:eastAsia="黑体" w:cs="OEEEEV+FZHTJW--GB1-0"/>
          <w:b/>
          <w:color w:val="211D1E"/>
          <w:sz w:val="36"/>
          <w:szCs w:val="36"/>
        </w:rPr>
        <w:t>2019</w:t>
      </w:r>
      <w:r>
        <w:rPr>
          <w:rFonts w:hint="eastAsia" w:ascii="黑体" w:hAnsi="黑体" w:eastAsia="黑体" w:cs="OEEEEV+FZHTJW--GB1-0"/>
          <w:b/>
          <w:color w:val="211D1E"/>
          <w:sz w:val="36"/>
          <w:szCs w:val="36"/>
        </w:rPr>
        <w:t>年福建省技能大赛</w:t>
      </w:r>
      <w:r>
        <w:rPr>
          <w:rFonts w:hint="eastAsia" w:ascii="黑体" w:hAnsi="黑体" w:eastAsia="黑体" w:cs="OEEEEV+FZHTJW--GB1-0"/>
          <w:b/>
          <w:sz w:val="36"/>
          <w:szCs w:val="36"/>
        </w:rPr>
        <w:t>高职组</w:t>
      </w:r>
    </w:p>
    <w:p>
      <w:pPr>
        <w:jc w:val="center"/>
        <w:rPr>
          <w:rFonts w:ascii="黑体" w:hAnsi="黑体" w:eastAsia="黑体"/>
          <w:b/>
          <w:sz w:val="36"/>
          <w:szCs w:val="36"/>
        </w:rPr>
      </w:pPr>
      <w:r>
        <w:rPr>
          <w:rFonts w:hint="eastAsia" w:ascii="黑体" w:hAnsi="黑体" w:eastAsia="黑体" w:cs="OEEEEV+FZHTJW--GB1-0"/>
          <w:b/>
          <w:sz w:val="36"/>
          <w:szCs w:val="36"/>
        </w:rPr>
        <w:t>“市场营销技能”赛</w:t>
      </w:r>
      <w:r>
        <w:rPr>
          <w:rFonts w:hint="eastAsia" w:ascii="黑体" w:hAnsi="黑体" w:eastAsia="黑体" w:cs="OEEEEV+FZHTJW--GB1-0"/>
          <w:b/>
          <w:color w:val="211D1E"/>
          <w:sz w:val="36"/>
          <w:szCs w:val="36"/>
        </w:rPr>
        <w:t>项规程</w:t>
      </w:r>
    </w:p>
    <w:p>
      <w:pPr>
        <w:jc w:val="center"/>
        <w:rPr>
          <w:rFonts w:ascii="仿宋_GB2312" w:hAnsi="黑体" w:eastAsia="仿宋_GB2312" w:cs="OEEEEV+FZHTJW--GB1-0"/>
          <w:b/>
          <w:sz w:val="28"/>
          <w:szCs w:val="28"/>
        </w:rPr>
      </w:pPr>
    </w:p>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一、赛项名称</w:t>
      </w:r>
    </w:p>
    <w:p>
      <w:pPr>
        <w:pStyle w:val="19"/>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赛项编号：G-0</w:t>
      </w:r>
      <w:r>
        <w:rPr>
          <w:rFonts w:ascii="仿宋_GB2312" w:hAnsi="黑体" w:eastAsia="仿宋_GB2312" w:cs="PROKST+FZFSJW--GB1-0"/>
          <w:color w:val="211D1E"/>
          <w:sz w:val="28"/>
          <w:szCs w:val="28"/>
        </w:rPr>
        <w:t>4</w:t>
      </w:r>
    </w:p>
    <w:p>
      <w:pPr>
        <w:pStyle w:val="19"/>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赛项名称：市场营销技能</w:t>
      </w:r>
    </w:p>
    <w:p>
      <w:pPr>
        <w:pStyle w:val="19"/>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赛项组别：高职组</w:t>
      </w:r>
    </w:p>
    <w:p>
      <w:pPr>
        <w:pStyle w:val="19"/>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赛项归属产业：财经商贸</w:t>
      </w:r>
    </w:p>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二、竞赛目的</w:t>
      </w:r>
    </w:p>
    <w:p>
      <w:pPr>
        <w:spacing w:line="560" w:lineRule="exact"/>
        <w:ind w:firstLine="560" w:firstLineChars="200"/>
        <w:rPr>
          <w:rFonts w:ascii="仿宋_GB2312" w:hAnsi="Arial Narrow" w:eastAsia="仿宋_GB2312" w:cs="Arial"/>
          <w:color w:val="FF0000"/>
          <w:sz w:val="28"/>
          <w:szCs w:val="28"/>
        </w:rPr>
      </w:pPr>
      <w:r>
        <w:rPr>
          <w:rFonts w:hint="eastAsia" w:ascii="仿宋_GB2312" w:hAnsi="Arial Narrow" w:eastAsia="仿宋_GB2312" w:cs="Arial"/>
          <w:sz w:val="28"/>
          <w:szCs w:val="28"/>
        </w:rPr>
        <w:t>本赛项为各院校师生提供交流借鉴的平台，引领高职院校市场营销专业建设和教学改革，以赛促教，推进专业建设与产业发展对接、课程内容与职业标准对接、人才培养过程与企业营销过程对接，提高市场营销专业人才培养质量和社会认可度与影响力。</w:t>
      </w:r>
    </w:p>
    <w:p>
      <w:pPr>
        <w:spacing w:line="560" w:lineRule="exact"/>
        <w:ind w:firstLine="562" w:firstLineChars="200"/>
        <w:rPr>
          <w:rFonts w:ascii="仿宋_GB2312" w:hAnsi="黑体" w:eastAsia="仿宋_GB2312" w:cs="OEEEEV+FZHTJW--GB1-0"/>
          <w:b/>
          <w:sz w:val="28"/>
          <w:szCs w:val="28"/>
        </w:rPr>
      </w:pPr>
      <w:r>
        <w:rPr>
          <w:rFonts w:hint="eastAsia" w:ascii="仿宋_GB2312" w:hAnsi="黑体" w:eastAsia="仿宋_GB2312" w:cs="OEEEEV+FZHTJW--GB1-0"/>
          <w:b/>
          <w:sz w:val="28"/>
          <w:szCs w:val="28"/>
        </w:rPr>
        <w:t>三、竞赛内容</w:t>
      </w:r>
    </w:p>
    <w:p>
      <w:pPr>
        <w:spacing w:line="560" w:lineRule="exact"/>
        <w:ind w:firstLine="560" w:firstLineChars="200"/>
        <w:rPr>
          <w:rFonts w:ascii="仿宋_GB2312" w:eastAsia="仿宋_GB2312"/>
          <w:sz w:val="28"/>
          <w:szCs w:val="28"/>
        </w:rPr>
      </w:pPr>
      <w:bookmarkStart w:id="0" w:name="_Hlk508810870"/>
      <w:r>
        <w:rPr>
          <w:rFonts w:hint="eastAsia" w:ascii="仿宋_GB2312" w:eastAsia="仿宋_GB2312"/>
          <w:sz w:val="28"/>
          <w:szCs w:val="28"/>
        </w:rPr>
        <w:t>市场营销技能赛项包括</w:t>
      </w:r>
      <w:r>
        <w:rPr>
          <w:rFonts w:hint="eastAsia" w:ascii="仿宋_GB2312" w:hAnsi="Arial Narrow" w:eastAsia="仿宋_GB2312" w:cs="Arial"/>
          <w:sz w:val="28"/>
          <w:szCs w:val="28"/>
        </w:rPr>
        <w:t>营销实战</w:t>
      </w:r>
      <w:r>
        <w:rPr>
          <w:rFonts w:hint="eastAsia" w:ascii="仿宋_GB2312" w:eastAsia="仿宋_GB2312"/>
          <w:sz w:val="28"/>
          <w:szCs w:val="28"/>
        </w:rPr>
        <w:t>展示</w:t>
      </w:r>
      <w:r>
        <w:rPr>
          <w:rFonts w:hint="eastAsia" w:ascii="仿宋_GB2312" w:hAnsi="Arial Narrow" w:eastAsia="仿宋_GB2312" w:cs="Arial"/>
          <w:sz w:val="28"/>
          <w:szCs w:val="28"/>
        </w:rPr>
        <w:t>、</w:t>
      </w:r>
      <w:r>
        <w:rPr>
          <w:rFonts w:hint="eastAsia" w:ascii="仿宋_GB2312" w:eastAsia="仿宋_GB2312"/>
          <w:sz w:val="28"/>
          <w:szCs w:val="28"/>
        </w:rPr>
        <w:t>商务数据分析和情境营销</w:t>
      </w:r>
      <w:r>
        <w:rPr>
          <w:rFonts w:hint="eastAsia" w:ascii="仿宋_GB2312" w:hAnsi="Arial Narrow" w:eastAsia="仿宋_GB2312" w:cs="Arial"/>
          <w:sz w:val="28"/>
          <w:szCs w:val="28"/>
        </w:rPr>
        <w:t>三个竞赛模块</w:t>
      </w:r>
      <w:r>
        <w:rPr>
          <w:rFonts w:hint="eastAsia" w:ascii="仿宋_GB2312" w:eastAsia="仿宋_GB2312"/>
          <w:sz w:val="28"/>
          <w:szCs w:val="28"/>
        </w:rPr>
        <w:t>。其中，</w:t>
      </w:r>
      <w:r>
        <w:rPr>
          <w:rFonts w:hint="eastAsia" w:ascii="仿宋_GB2312" w:hAnsi="Arial Narrow" w:eastAsia="仿宋_GB2312" w:cs="Arial"/>
          <w:sz w:val="28"/>
          <w:szCs w:val="28"/>
        </w:rPr>
        <w:t>营销实战展示</w:t>
      </w:r>
      <w:r>
        <w:rPr>
          <w:rFonts w:hint="eastAsia" w:ascii="仿宋_GB2312" w:eastAsia="仿宋_GB2312"/>
          <w:sz w:val="28"/>
          <w:szCs w:val="28"/>
        </w:rPr>
        <w:t>模块考察营销过程中市场调查、产品促销、电话推销、网络客服、大客户拜访、网络营销、全渠道推广实战等各类典型职业活动的方案设计、组织落实、过程管理等基本专业技能，以及沟通表达、礼仪规范等基本职业素质；商务数据分析模块考察学生的商品分类、商务数据采集与分析等基本专业技能；情境营销模块不仅考察学生的目标市场选择与定位、竞争策略分析与执行、营销活动策划与组织、成本核算与财务分析等基本专业技能，还进一步考察学生对充分竞争市场的综合判断分析能力。竞赛中选手将会用到经济学基础、商品学基础、市场营销、市场调查与分析、消费心理学、营销策划、财务管理等课程的综合知识。</w:t>
      </w:r>
      <w:bookmarkEnd w:id="0"/>
      <w:r>
        <w:rPr>
          <w:rFonts w:hint="eastAsia" w:ascii="仿宋_GB2312" w:eastAsia="仿宋_GB2312"/>
          <w:sz w:val="28"/>
          <w:szCs w:val="28"/>
        </w:rPr>
        <w:t>竞赛内容详见表</w:t>
      </w:r>
      <w:r>
        <w:rPr>
          <w:rFonts w:ascii="仿宋_GB2312" w:eastAsia="仿宋_GB2312"/>
          <w:sz w:val="28"/>
          <w:szCs w:val="28"/>
        </w:rPr>
        <w:t>1</w:t>
      </w:r>
      <w:r>
        <w:rPr>
          <w:rFonts w:hint="eastAsia" w:ascii="仿宋_GB2312" w:eastAsia="仿宋_GB2312"/>
          <w:sz w:val="28"/>
          <w:szCs w:val="28"/>
        </w:rPr>
        <w:t>。</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1 </w:t>
      </w:r>
      <w:r>
        <w:rPr>
          <w:rFonts w:hint="eastAsia" w:ascii="仿宋_GB2312" w:eastAsia="仿宋_GB2312"/>
          <w:sz w:val="24"/>
          <w:szCs w:val="24"/>
        </w:rPr>
        <w:t>“市场营销技能”竞赛内容与时长</w:t>
      </w:r>
    </w:p>
    <w:tbl>
      <w:tblPr>
        <w:tblStyle w:val="13"/>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5"/>
        <w:gridCol w:w="613"/>
        <w:gridCol w:w="1511"/>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055" w:type="dxa"/>
            <w:vAlign w:val="center"/>
          </w:tcPr>
          <w:p>
            <w:pPr>
              <w:jc w:val="center"/>
              <w:rPr>
                <w:rFonts w:ascii="仿宋_GB2312" w:eastAsia="仿宋_GB2312"/>
                <w:b/>
                <w:sz w:val="24"/>
                <w:szCs w:val="24"/>
              </w:rPr>
            </w:pPr>
            <w:r>
              <w:rPr>
                <w:rFonts w:hint="eastAsia" w:ascii="仿宋_GB2312" w:eastAsia="仿宋_GB2312"/>
                <w:b/>
                <w:sz w:val="24"/>
                <w:szCs w:val="24"/>
              </w:rPr>
              <w:t>比赛内容</w:t>
            </w:r>
          </w:p>
        </w:tc>
        <w:tc>
          <w:tcPr>
            <w:tcW w:w="613" w:type="dxa"/>
            <w:vAlign w:val="center"/>
          </w:tcPr>
          <w:p>
            <w:pPr>
              <w:jc w:val="center"/>
              <w:rPr>
                <w:rFonts w:ascii="仿宋_GB2312" w:eastAsia="仿宋_GB2312"/>
                <w:b/>
                <w:sz w:val="24"/>
                <w:szCs w:val="24"/>
              </w:rPr>
            </w:pPr>
            <w:r>
              <w:rPr>
                <w:rFonts w:hint="eastAsia" w:ascii="仿宋_GB2312" w:eastAsia="仿宋_GB2312"/>
                <w:b/>
                <w:sz w:val="24"/>
                <w:szCs w:val="24"/>
              </w:rPr>
              <w:t>比重</w:t>
            </w:r>
          </w:p>
        </w:tc>
        <w:tc>
          <w:tcPr>
            <w:tcW w:w="1511" w:type="dxa"/>
            <w:vAlign w:val="center"/>
          </w:tcPr>
          <w:p>
            <w:pPr>
              <w:jc w:val="center"/>
              <w:rPr>
                <w:rFonts w:ascii="仿宋_GB2312" w:eastAsia="仿宋_GB2312"/>
                <w:b/>
                <w:sz w:val="24"/>
                <w:szCs w:val="24"/>
              </w:rPr>
            </w:pPr>
            <w:r>
              <w:rPr>
                <w:rFonts w:hint="eastAsia" w:ascii="仿宋_GB2312" w:eastAsia="仿宋_GB2312"/>
                <w:b/>
                <w:sz w:val="24"/>
                <w:szCs w:val="24"/>
              </w:rPr>
              <w:t>时间</w:t>
            </w:r>
          </w:p>
        </w:tc>
        <w:tc>
          <w:tcPr>
            <w:tcW w:w="1357" w:type="dxa"/>
            <w:vAlign w:val="center"/>
          </w:tcPr>
          <w:p>
            <w:pPr>
              <w:jc w:val="center"/>
              <w:rPr>
                <w:rFonts w:ascii="仿宋_GB2312" w:eastAsia="仿宋_GB2312"/>
                <w:b/>
                <w:sz w:val="24"/>
                <w:szCs w:val="24"/>
              </w:rPr>
            </w:pPr>
            <w:r>
              <w:rPr>
                <w:rFonts w:hint="eastAsia" w:ascii="仿宋_GB2312" w:eastAsia="仿宋_GB2312"/>
                <w:b/>
                <w:sz w:val="24"/>
                <w:szCs w:val="24"/>
              </w:rPr>
              <w:t>比赛安排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5055" w:type="dxa"/>
            <w:vAlign w:val="center"/>
          </w:tcPr>
          <w:p>
            <w:pPr>
              <w:rPr>
                <w:rFonts w:ascii="仿宋_GB2312" w:eastAsia="仿宋_GB2312"/>
                <w:sz w:val="24"/>
                <w:szCs w:val="24"/>
              </w:rPr>
            </w:pPr>
            <w:r>
              <w:rPr>
                <w:rFonts w:hint="eastAsia" w:ascii="仿宋_GB2312" w:eastAsia="仿宋_GB2312"/>
                <w:sz w:val="24"/>
                <w:szCs w:val="24"/>
              </w:rPr>
              <w:t>商务数据分析模块：各参赛队在某一网络销售实战平台上，搜集指定地区、指定时间段的指定商品销售信息，并对此进行分析研判。</w:t>
            </w:r>
          </w:p>
        </w:tc>
        <w:tc>
          <w:tcPr>
            <w:tcW w:w="613" w:type="dxa"/>
            <w:vAlign w:val="center"/>
          </w:tcPr>
          <w:p>
            <w:pPr>
              <w:jc w:val="center"/>
              <w:rPr>
                <w:rFonts w:ascii="仿宋_GB2312" w:eastAsia="仿宋_GB2312"/>
                <w:sz w:val="24"/>
                <w:szCs w:val="24"/>
              </w:rPr>
            </w:pPr>
            <w:r>
              <w:rPr>
                <w:rFonts w:ascii="仿宋_GB2312" w:eastAsia="仿宋_GB2312"/>
                <w:sz w:val="24"/>
                <w:szCs w:val="24"/>
              </w:rPr>
              <w:t>15%</w:t>
            </w:r>
          </w:p>
        </w:tc>
        <w:tc>
          <w:tcPr>
            <w:tcW w:w="1511" w:type="dxa"/>
            <w:vAlign w:val="center"/>
          </w:tcPr>
          <w:p>
            <w:pPr>
              <w:jc w:val="center"/>
              <w:rPr>
                <w:rFonts w:ascii="仿宋_GB2312" w:eastAsia="仿宋_GB2312"/>
                <w:sz w:val="24"/>
                <w:szCs w:val="24"/>
              </w:rPr>
            </w:pPr>
            <w:r>
              <w:rPr>
                <w:rFonts w:ascii="仿宋_GB2312" w:eastAsia="仿宋_GB2312"/>
                <w:sz w:val="24"/>
                <w:szCs w:val="24"/>
              </w:rPr>
              <w:t>60</w:t>
            </w:r>
            <w:r>
              <w:rPr>
                <w:rFonts w:hint="eastAsia" w:ascii="仿宋_GB2312" w:eastAsia="仿宋_GB2312"/>
                <w:sz w:val="24"/>
                <w:szCs w:val="24"/>
              </w:rPr>
              <w:t>分钟</w:t>
            </w:r>
          </w:p>
        </w:tc>
        <w:tc>
          <w:tcPr>
            <w:tcW w:w="1357" w:type="dxa"/>
            <w:vAlign w:val="center"/>
          </w:tcPr>
          <w:p>
            <w:pPr>
              <w:jc w:val="center"/>
              <w:rPr>
                <w:rFonts w:ascii="仿宋_GB2312" w:eastAsia="仿宋_GB2312"/>
                <w:sz w:val="24"/>
                <w:szCs w:val="24"/>
              </w:rPr>
            </w:pPr>
            <w:r>
              <w:rPr>
                <w:rFonts w:hint="eastAsia" w:ascii="仿宋_GB2312" w:eastAsia="仿宋_GB2312"/>
                <w:sz w:val="24"/>
                <w:szCs w:val="24"/>
              </w:rPr>
              <w:t>竞赛第一天</w:t>
            </w:r>
          </w:p>
          <w:p>
            <w:pPr>
              <w:jc w:val="center"/>
              <w:rPr>
                <w:rFonts w:ascii="仿宋_GB2312" w:eastAsia="仿宋_GB2312"/>
                <w:sz w:val="24"/>
                <w:szCs w:val="24"/>
              </w:rPr>
            </w:pPr>
            <w:r>
              <w:rPr>
                <w:rFonts w:hint="eastAsia" w:ascii="仿宋_GB2312" w:eastAsia="仿宋_GB2312"/>
                <w:sz w:val="24"/>
                <w:szCs w:val="24"/>
              </w:rPr>
              <w:t>9</w:t>
            </w:r>
            <w:r>
              <w:rPr>
                <w:rFonts w:ascii="仿宋_GB2312" w:eastAsia="仿宋_GB2312"/>
                <w:sz w:val="24"/>
                <w:szCs w:val="24"/>
              </w:rPr>
              <w:t>:</w:t>
            </w:r>
            <w:r>
              <w:rPr>
                <w:rFonts w:hint="eastAsia" w:ascii="仿宋_GB2312" w:eastAsia="仿宋_GB2312"/>
                <w:sz w:val="24"/>
                <w:szCs w:val="24"/>
              </w:rPr>
              <w:t>3</w:t>
            </w:r>
            <w:r>
              <w:rPr>
                <w:rFonts w:ascii="仿宋_GB2312" w:eastAsia="仿宋_GB2312"/>
                <w:sz w:val="24"/>
                <w:szCs w:val="24"/>
              </w:rPr>
              <w:t>0-1</w:t>
            </w:r>
            <w:r>
              <w:rPr>
                <w:rFonts w:hint="eastAsia" w:ascii="仿宋_GB2312" w:eastAsia="仿宋_GB2312"/>
                <w:sz w:val="24"/>
                <w:szCs w:val="24"/>
              </w:rPr>
              <w:t>0</w:t>
            </w:r>
            <w:r>
              <w:rPr>
                <w:rFonts w:ascii="仿宋_GB2312" w:eastAsia="仿宋_GB2312"/>
                <w:sz w:val="24"/>
                <w:szCs w:val="24"/>
              </w:rPr>
              <w:t>:</w:t>
            </w:r>
            <w:r>
              <w:rPr>
                <w:rFonts w:hint="eastAsia" w:ascii="仿宋_GB2312" w:eastAsia="仿宋_GB2312"/>
                <w:sz w:val="24"/>
                <w:szCs w:val="24"/>
              </w:rPr>
              <w:t>3</w:t>
            </w:r>
            <w:r>
              <w:rPr>
                <w:rFonts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5055" w:type="dxa"/>
            <w:vAlign w:val="center"/>
          </w:tcPr>
          <w:p>
            <w:pPr>
              <w:rPr>
                <w:rFonts w:ascii="仿宋_GB2312" w:eastAsia="仿宋_GB2312"/>
                <w:sz w:val="24"/>
                <w:szCs w:val="24"/>
              </w:rPr>
            </w:pPr>
            <w:r>
              <w:rPr>
                <w:rFonts w:hint="eastAsia" w:ascii="仿宋_GB2312" w:eastAsia="仿宋_GB2312"/>
                <w:sz w:val="24"/>
                <w:szCs w:val="24"/>
              </w:rPr>
              <w:t>情境营销模块：各参赛队在同一个模拟市场环境条件下，通过目标市场分析与选择、营销策略组合和财务报表分析，使企业的效益最大化。</w:t>
            </w:r>
          </w:p>
        </w:tc>
        <w:tc>
          <w:tcPr>
            <w:tcW w:w="613" w:type="dxa"/>
            <w:vAlign w:val="center"/>
          </w:tcPr>
          <w:p>
            <w:pPr>
              <w:jc w:val="center"/>
              <w:rPr>
                <w:rFonts w:ascii="仿宋_GB2312" w:eastAsia="仿宋_GB2312"/>
                <w:sz w:val="24"/>
                <w:szCs w:val="24"/>
              </w:rPr>
            </w:pPr>
            <w:r>
              <w:rPr>
                <w:rFonts w:ascii="仿宋_GB2312" w:eastAsia="仿宋_GB2312"/>
                <w:sz w:val="24"/>
                <w:szCs w:val="24"/>
              </w:rPr>
              <w:t>70%</w:t>
            </w:r>
          </w:p>
        </w:tc>
        <w:tc>
          <w:tcPr>
            <w:tcW w:w="1511" w:type="dxa"/>
            <w:vAlign w:val="center"/>
          </w:tcPr>
          <w:p>
            <w:pPr>
              <w:jc w:val="center"/>
              <w:rPr>
                <w:rFonts w:ascii="仿宋_GB2312" w:eastAsia="仿宋_GB2312"/>
                <w:sz w:val="24"/>
                <w:szCs w:val="24"/>
              </w:rPr>
            </w:pPr>
            <w:r>
              <w:rPr>
                <w:rFonts w:ascii="仿宋_GB2312" w:eastAsia="仿宋_GB2312"/>
                <w:sz w:val="24"/>
                <w:szCs w:val="24"/>
              </w:rPr>
              <w:t>300</w:t>
            </w:r>
            <w:r>
              <w:rPr>
                <w:rFonts w:hint="eastAsia" w:ascii="仿宋_GB2312" w:eastAsia="仿宋_GB2312"/>
                <w:sz w:val="24"/>
                <w:szCs w:val="24"/>
              </w:rPr>
              <w:t>分钟</w:t>
            </w:r>
          </w:p>
        </w:tc>
        <w:tc>
          <w:tcPr>
            <w:tcW w:w="1357" w:type="dxa"/>
            <w:vAlign w:val="center"/>
          </w:tcPr>
          <w:p>
            <w:pPr>
              <w:jc w:val="center"/>
              <w:rPr>
                <w:rFonts w:ascii="仿宋_GB2312" w:eastAsia="仿宋_GB2312"/>
                <w:sz w:val="24"/>
                <w:szCs w:val="24"/>
              </w:rPr>
            </w:pPr>
            <w:r>
              <w:rPr>
                <w:rFonts w:hint="eastAsia" w:ascii="仿宋_GB2312" w:eastAsia="仿宋_GB2312"/>
                <w:sz w:val="24"/>
                <w:szCs w:val="24"/>
              </w:rPr>
              <w:t>竞赛第一天</w:t>
            </w:r>
          </w:p>
          <w:p>
            <w:pPr>
              <w:jc w:val="center"/>
              <w:rPr>
                <w:rFonts w:ascii="仿宋_GB2312" w:eastAsia="仿宋_GB2312"/>
                <w:sz w:val="24"/>
                <w:szCs w:val="24"/>
              </w:rPr>
            </w:pPr>
            <w:r>
              <w:rPr>
                <w:rFonts w:hint="eastAsia" w:ascii="仿宋_GB2312" w:eastAsia="仿宋_GB2312"/>
                <w:sz w:val="24"/>
                <w:szCs w:val="24"/>
              </w:rPr>
              <w:t>10</w:t>
            </w:r>
            <w:r>
              <w:rPr>
                <w:rFonts w:ascii="仿宋_GB2312" w:eastAsia="仿宋_GB2312"/>
                <w:sz w:val="24"/>
                <w:szCs w:val="24"/>
              </w:rPr>
              <w:t>:</w:t>
            </w:r>
            <w:r>
              <w:rPr>
                <w:rFonts w:hint="eastAsia" w:ascii="仿宋_GB2312" w:eastAsia="仿宋_GB2312"/>
                <w:sz w:val="24"/>
                <w:szCs w:val="24"/>
              </w:rPr>
              <w:t>5</w:t>
            </w:r>
            <w:r>
              <w:rPr>
                <w:rFonts w:ascii="仿宋_GB2312" w:eastAsia="仿宋_GB2312"/>
                <w:sz w:val="24"/>
                <w:szCs w:val="24"/>
              </w:rPr>
              <w:t>0-1</w:t>
            </w:r>
            <w:r>
              <w:rPr>
                <w:rFonts w:hint="eastAsia" w:ascii="仿宋_GB2312" w:eastAsia="仿宋_GB2312"/>
                <w:sz w:val="24"/>
                <w:szCs w:val="24"/>
              </w:rPr>
              <w:t>2</w:t>
            </w:r>
            <w:r>
              <w:rPr>
                <w:rFonts w:ascii="仿宋_GB2312" w:eastAsia="仿宋_GB2312"/>
                <w:sz w:val="24"/>
                <w:szCs w:val="24"/>
              </w:rPr>
              <w:t>:</w:t>
            </w:r>
            <w:r>
              <w:rPr>
                <w:rFonts w:hint="eastAsia" w:ascii="仿宋_GB2312" w:eastAsia="仿宋_GB2312"/>
                <w:sz w:val="24"/>
                <w:szCs w:val="24"/>
              </w:rPr>
              <w:t>2</w:t>
            </w:r>
            <w:r>
              <w:rPr>
                <w:rFonts w:ascii="仿宋_GB2312" w:eastAsia="仿宋_GB2312"/>
                <w:sz w:val="24"/>
                <w:szCs w:val="24"/>
              </w:rPr>
              <w:t>0</w:t>
            </w:r>
          </w:p>
          <w:p>
            <w:pPr>
              <w:jc w:val="cente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3</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0-1</w:t>
            </w:r>
            <w:r>
              <w:rPr>
                <w:rFonts w:hint="eastAsia" w:ascii="仿宋_GB2312" w:eastAsia="仿宋_GB2312"/>
                <w:sz w:val="24"/>
                <w:szCs w:val="24"/>
              </w:rPr>
              <w:t>6</w:t>
            </w:r>
            <w:r>
              <w:rPr>
                <w:rFonts w:ascii="仿宋_GB2312" w:eastAsia="仿宋_GB2312"/>
                <w:sz w:val="24"/>
                <w:szCs w:val="24"/>
              </w:rPr>
              <w:t>:</w:t>
            </w:r>
            <w:r>
              <w:rPr>
                <w:rFonts w:hint="eastAsia" w:ascii="仿宋_GB2312" w:eastAsia="仿宋_GB2312"/>
                <w:sz w:val="24"/>
                <w:szCs w:val="24"/>
              </w:rPr>
              <w:t>3</w:t>
            </w:r>
            <w:r>
              <w:rPr>
                <w:rFonts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5055" w:type="dxa"/>
            <w:vAlign w:val="center"/>
          </w:tcPr>
          <w:p>
            <w:pPr>
              <w:rPr>
                <w:rFonts w:ascii="仿宋_GB2312" w:eastAsia="仿宋_GB2312"/>
                <w:sz w:val="24"/>
                <w:szCs w:val="24"/>
              </w:rPr>
            </w:pPr>
            <w:r>
              <w:rPr>
                <w:rFonts w:hint="eastAsia" w:ascii="仿宋_GB2312" w:eastAsia="仿宋_GB2312"/>
                <w:sz w:val="24"/>
                <w:szCs w:val="24"/>
              </w:rPr>
              <w:t>营销实战展示模块：</w:t>
            </w:r>
          </w:p>
          <w:p>
            <w:pPr>
              <w:rPr>
                <w:rFonts w:ascii="仿宋_GB2312" w:eastAsia="仿宋_GB2312"/>
                <w:sz w:val="24"/>
                <w:szCs w:val="24"/>
              </w:rPr>
            </w:pPr>
            <w:r>
              <w:rPr>
                <w:rFonts w:hint="eastAsia" w:ascii="仿宋_GB2312" w:eastAsia="仿宋_GB2312"/>
                <w:sz w:val="24"/>
                <w:szCs w:val="24"/>
              </w:rPr>
              <w:t>（1）赛前1个月针对选定的真实产品或项目，对指定市场进行某一营销典型职业活动的方案设计、组织落实、监督管理。</w:t>
            </w:r>
            <w:r>
              <w:rPr>
                <w:rFonts w:ascii="仿宋_GB2312" w:eastAsia="仿宋_GB2312"/>
                <w:sz w:val="24"/>
                <w:szCs w:val="24"/>
              </w:rPr>
              <w:t xml:space="preserve"> </w:t>
            </w:r>
          </w:p>
        </w:tc>
        <w:tc>
          <w:tcPr>
            <w:tcW w:w="613" w:type="dxa"/>
            <w:vMerge w:val="restart"/>
            <w:vAlign w:val="center"/>
          </w:tcPr>
          <w:p>
            <w:pPr>
              <w:jc w:val="center"/>
              <w:rPr>
                <w:rFonts w:ascii="仿宋_GB2312" w:eastAsia="仿宋_GB2312"/>
                <w:sz w:val="24"/>
                <w:szCs w:val="24"/>
              </w:rPr>
            </w:pPr>
            <w:r>
              <w:rPr>
                <w:rFonts w:ascii="仿宋_GB2312" w:eastAsia="仿宋_GB2312"/>
                <w:sz w:val="24"/>
                <w:szCs w:val="24"/>
              </w:rPr>
              <w:t>15%</w:t>
            </w:r>
          </w:p>
        </w:tc>
        <w:tc>
          <w:tcPr>
            <w:tcW w:w="1511" w:type="dxa"/>
            <w:vAlign w:val="center"/>
          </w:tcPr>
          <w:p>
            <w:pPr>
              <w:jc w:val="center"/>
              <w:rPr>
                <w:rFonts w:ascii="仿宋_GB2312" w:eastAsia="仿宋_GB2312"/>
                <w:sz w:val="24"/>
                <w:szCs w:val="24"/>
              </w:rPr>
            </w:pPr>
            <w:r>
              <w:rPr>
                <w:rFonts w:ascii="仿宋_GB2312" w:eastAsia="仿宋_GB2312"/>
                <w:sz w:val="24"/>
                <w:szCs w:val="24"/>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24130</wp:posOffset>
                      </wp:positionV>
                      <wp:extent cx="876300" cy="87630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8763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9pt;height:69pt;width:69pt;z-index:251656192;mso-width-relative:page;mso-height-relative:page;" filled="f" stroked="t" coordsize="21600,21600" o:gfxdata="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hmdb2QAAAAgBAAAPAAAA&#10;AAAAAAEAIAAAACIAAABkcnMvZG93bnJldi54bWxQSwECFAAUAAAACACHTuJA4wLms9sBAACJAwAA&#10;DgAAAAAAAAABACAAAAAoAQAAZHJzL2Uyb0RvYy54bWxQSwUGAAAAAAYABgBZAQAAdQUAAAAA&#10;">
                      <v:fill on="f" focussize="0,0"/>
                      <v:stroke color="#4A7EBB [3204]" joinstyle="round"/>
                      <v:imagedata o:title=""/>
                      <o:lock v:ext="edit" aspectratio="f"/>
                    </v:line>
                  </w:pict>
                </mc:Fallback>
              </mc:AlternateContent>
            </w:r>
            <w:r>
              <w:rPr>
                <w:rFonts w:ascii="仿宋_GB2312" w:eastAsia="仿宋_GB2312"/>
                <w:sz w:val="24"/>
                <w:szCs w:val="24"/>
              </w:rPr>
              <mc:AlternateContent>
                <mc:Choice Requires="wps">
                  <w:drawing>
                    <wp:anchor distT="0" distB="0" distL="114300" distR="114300" simplePos="0" relativeHeight="251665408" behindDoc="0" locked="0" layoutInCell="1" allowOverlap="1">
                      <wp:simplePos x="0" y="0"/>
                      <wp:positionH relativeFrom="column">
                        <wp:posOffset>896620</wp:posOffset>
                      </wp:positionH>
                      <wp:positionV relativeFrom="paragraph">
                        <wp:posOffset>-8890</wp:posOffset>
                      </wp:positionV>
                      <wp:extent cx="846455" cy="887095"/>
                      <wp:effectExtent l="3175" t="3175" r="7620" b="5080"/>
                      <wp:wrapNone/>
                      <wp:docPr id="6" name="直接连接符 6"/>
                      <wp:cNvGraphicFramePr/>
                      <a:graphic xmlns:a="http://schemas.openxmlformats.org/drawingml/2006/main">
                        <a:graphicData uri="http://schemas.microsoft.com/office/word/2010/wordprocessingShape">
                          <wps:wsp>
                            <wps:cNvCnPr/>
                            <wps:spPr>
                              <a:xfrm>
                                <a:off x="0" y="0"/>
                                <a:ext cx="846455" cy="887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6pt;margin-top:-0.7pt;height:69.85pt;width:66.65pt;z-index:251665408;mso-width-relative:page;mso-height-relative:page;" filled="f" stroked="t" coordsize="21600,21600" o:gfxdata="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FKeVNoAAAAKAQAA&#10;DwAAAAAAAAABACAAAAAiAAAAZHJzL2Rvd25yZXYueG1sUEsBAhQAFAAAAAgAh07iQMGJJmreAQAA&#10;iQMAAA4AAAAAAAAAAQAgAAAAKQEAAGRycy9lMm9Eb2MueG1sUEsFBgAAAAAGAAYAWQEAAHkFAAAA&#10;AA==&#10;">
                      <v:fill on="f" focussize="0,0"/>
                      <v:stroke color="#4A7EBB [3204]" joinstyle="round"/>
                      <v:imagedata o:title=""/>
                      <o:lock v:ext="edit" aspectratio="f"/>
                    </v:line>
                  </w:pict>
                </mc:Fallback>
              </mc:AlternateContent>
            </w:r>
          </w:p>
        </w:tc>
        <w:tc>
          <w:tcPr>
            <w:tcW w:w="135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5055" w:type="dxa"/>
            <w:vAlign w:val="center"/>
          </w:tcPr>
          <w:p>
            <w:pPr>
              <w:rPr>
                <w:rFonts w:ascii="仿宋_GB2312" w:eastAsia="仿宋_GB2312"/>
                <w:sz w:val="24"/>
                <w:szCs w:val="24"/>
              </w:rPr>
            </w:pPr>
            <w:r>
              <w:rPr>
                <w:rFonts w:hint="eastAsia" w:ascii="仿宋_GB2312" w:eastAsia="仿宋_GB2312"/>
                <w:sz w:val="24"/>
                <w:szCs w:val="24"/>
              </w:rPr>
              <w:t>营销实战展示模块：</w:t>
            </w:r>
          </w:p>
          <w:p>
            <w:pPr>
              <w:rPr>
                <w:rFonts w:ascii="仿宋_GB2312" w:eastAsia="仿宋_GB2312"/>
                <w:sz w:val="24"/>
                <w:szCs w:val="24"/>
              </w:rPr>
            </w:pPr>
            <w:r>
              <w:rPr>
                <w:rFonts w:hint="eastAsia" w:ascii="仿宋_GB2312" w:eastAsia="仿宋_GB2312"/>
                <w:sz w:val="24"/>
                <w:szCs w:val="24"/>
              </w:rPr>
              <w:t>（2）按题目要求撰写WORD文档和PPT文档。</w:t>
            </w:r>
          </w:p>
        </w:tc>
        <w:tc>
          <w:tcPr>
            <w:tcW w:w="613" w:type="dxa"/>
            <w:vMerge w:val="continue"/>
            <w:vAlign w:val="center"/>
          </w:tcPr>
          <w:p>
            <w:pPr>
              <w:jc w:val="center"/>
              <w:rPr>
                <w:rFonts w:ascii="仿宋_GB2312" w:eastAsia="仿宋_GB2312"/>
                <w:sz w:val="24"/>
                <w:szCs w:val="24"/>
              </w:rPr>
            </w:pPr>
          </w:p>
        </w:tc>
        <w:tc>
          <w:tcPr>
            <w:tcW w:w="1511" w:type="dxa"/>
            <w:vAlign w:val="center"/>
          </w:tcPr>
          <w:p>
            <w:pPr>
              <w:jc w:val="center"/>
              <w:rPr>
                <w:rFonts w:ascii="仿宋_GB2312" w:eastAsia="仿宋_GB2312"/>
                <w:sz w:val="24"/>
                <w:szCs w:val="24"/>
              </w:rPr>
            </w:pPr>
            <w:r>
              <w:rPr>
                <w:rFonts w:hint="eastAsia" w:ascii="仿宋_GB2312" w:eastAsia="仿宋_GB2312"/>
                <w:sz w:val="24"/>
                <w:szCs w:val="24"/>
              </w:rPr>
              <w:t>方案撰写及</w:t>
            </w:r>
            <w:r>
              <w:rPr>
                <w:rFonts w:ascii="仿宋_GB2312" w:eastAsia="仿宋_GB2312"/>
                <w:sz w:val="24"/>
                <w:szCs w:val="24"/>
              </w:rPr>
              <w:t>PPT</w:t>
            </w:r>
            <w:r>
              <w:rPr>
                <w:rFonts w:hint="eastAsia" w:ascii="仿宋_GB2312" w:eastAsia="仿宋_GB2312"/>
                <w:sz w:val="24"/>
                <w:szCs w:val="24"/>
              </w:rPr>
              <w:t>制作：60分钟</w:t>
            </w:r>
          </w:p>
        </w:tc>
        <w:tc>
          <w:tcPr>
            <w:tcW w:w="1357" w:type="dxa"/>
            <w:vAlign w:val="center"/>
          </w:tcPr>
          <w:p>
            <w:pPr>
              <w:jc w:val="center"/>
              <w:rPr>
                <w:rFonts w:ascii="仿宋_GB2312" w:eastAsia="仿宋_GB2312"/>
                <w:sz w:val="24"/>
                <w:szCs w:val="24"/>
              </w:rPr>
            </w:pPr>
            <w:r>
              <w:rPr>
                <w:rFonts w:hint="eastAsia" w:ascii="仿宋_GB2312" w:eastAsia="仿宋_GB2312"/>
                <w:sz w:val="24"/>
                <w:szCs w:val="24"/>
              </w:rPr>
              <w:t>竞赛第二天</w:t>
            </w:r>
          </w:p>
          <w:p>
            <w:pPr>
              <w:jc w:val="center"/>
              <w:rPr>
                <w:rFonts w:ascii="仿宋_GB2312" w:eastAsia="仿宋_GB2312"/>
                <w:sz w:val="24"/>
                <w:szCs w:val="24"/>
              </w:rPr>
            </w:pPr>
            <w:r>
              <w:rPr>
                <w:rFonts w:ascii="仿宋_GB2312" w:eastAsia="仿宋_GB2312"/>
                <w:sz w:val="24"/>
                <w:szCs w:val="24"/>
              </w:rPr>
              <w:t>0</w:t>
            </w:r>
            <w:r>
              <w:rPr>
                <w:rFonts w:hint="eastAsia" w:ascii="仿宋_GB2312" w:eastAsia="仿宋_GB2312"/>
                <w:sz w:val="24"/>
                <w:szCs w:val="24"/>
              </w:rPr>
              <w:t>9</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r>
              <w:rPr>
                <w:rFonts w:hint="eastAsia" w:ascii="仿宋_GB2312" w:eastAsia="仿宋_GB2312"/>
                <w:sz w:val="24"/>
                <w:szCs w:val="24"/>
              </w:rPr>
              <w:t>10</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5055" w:type="dxa"/>
            <w:vAlign w:val="center"/>
          </w:tcPr>
          <w:p>
            <w:pPr>
              <w:rPr>
                <w:rFonts w:ascii="仿宋_GB2312" w:eastAsia="仿宋_GB2312"/>
                <w:sz w:val="24"/>
                <w:szCs w:val="24"/>
              </w:rPr>
            </w:pPr>
            <w:r>
              <w:rPr>
                <w:rFonts w:hint="eastAsia" w:ascii="仿宋_GB2312" w:eastAsia="仿宋_GB2312"/>
                <w:sz w:val="24"/>
                <w:szCs w:val="24"/>
              </w:rPr>
              <w:t>营销实战展示模块：</w:t>
            </w:r>
          </w:p>
          <w:p>
            <w:pPr>
              <w:rPr>
                <w:rFonts w:ascii="仿宋_GB2312" w:eastAsia="仿宋_GB2312"/>
                <w:sz w:val="24"/>
                <w:szCs w:val="24"/>
              </w:rPr>
            </w:pPr>
            <w:r>
              <w:rPr>
                <w:rFonts w:hint="eastAsia" w:ascii="仿宋_GB2312" w:eastAsia="仿宋_GB2312"/>
                <w:sz w:val="24"/>
                <w:szCs w:val="24"/>
              </w:rPr>
              <w:t>（3）按题目要求进行汇报展示。</w:t>
            </w:r>
          </w:p>
        </w:tc>
        <w:tc>
          <w:tcPr>
            <w:tcW w:w="613" w:type="dxa"/>
            <w:vMerge w:val="continue"/>
            <w:vAlign w:val="center"/>
          </w:tcPr>
          <w:p>
            <w:pPr>
              <w:jc w:val="center"/>
              <w:rPr>
                <w:rFonts w:ascii="仿宋_GB2312" w:eastAsia="仿宋_GB2312"/>
                <w:sz w:val="24"/>
                <w:szCs w:val="24"/>
              </w:rPr>
            </w:pPr>
          </w:p>
        </w:tc>
        <w:tc>
          <w:tcPr>
            <w:tcW w:w="1511" w:type="dxa"/>
            <w:vAlign w:val="center"/>
          </w:tcPr>
          <w:p>
            <w:pPr>
              <w:jc w:val="center"/>
              <w:rPr>
                <w:rFonts w:ascii="仿宋_GB2312" w:eastAsia="仿宋_GB2312"/>
                <w:sz w:val="24"/>
                <w:szCs w:val="24"/>
              </w:rPr>
            </w:pPr>
            <w:r>
              <w:rPr>
                <w:rFonts w:hint="eastAsia" w:ascii="仿宋_GB2312" w:eastAsia="仿宋_GB2312"/>
                <w:sz w:val="24"/>
                <w:szCs w:val="24"/>
              </w:rPr>
              <w:t>每小组5分钟</w:t>
            </w:r>
          </w:p>
        </w:tc>
        <w:tc>
          <w:tcPr>
            <w:tcW w:w="1357" w:type="dxa"/>
            <w:vAlign w:val="center"/>
          </w:tcPr>
          <w:p>
            <w:pPr>
              <w:jc w:val="center"/>
              <w:rPr>
                <w:rFonts w:ascii="仿宋_GB2312" w:eastAsia="仿宋_GB2312"/>
                <w:sz w:val="24"/>
                <w:szCs w:val="24"/>
              </w:rPr>
            </w:pPr>
            <w:r>
              <w:rPr>
                <w:rFonts w:hint="eastAsia" w:ascii="仿宋_GB2312" w:eastAsia="仿宋_GB2312"/>
                <w:sz w:val="24"/>
                <w:szCs w:val="24"/>
              </w:rPr>
              <w:t>竞赛第二天</w:t>
            </w:r>
          </w:p>
          <w:p>
            <w:pPr>
              <w:jc w:val="center"/>
              <w:rPr>
                <w:rFonts w:ascii="仿宋_GB2312" w:eastAsia="仿宋_GB2312"/>
                <w:sz w:val="24"/>
                <w:szCs w:val="24"/>
              </w:rPr>
            </w:pPr>
            <w:r>
              <w:rPr>
                <w:rFonts w:hint="eastAsia" w:ascii="仿宋_GB2312" w:eastAsia="仿宋_GB2312"/>
                <w:sz w:val="24"/>
                <w:szCs w:val="24"/>
              </w:rPr>
              <w:t>11</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0-1</w:t>
            </w:r>
            <w:r>
              <w:rPr>
                <w:rFonts w:hint="eastAsia" w:ascii="仿宋_GB2312" w:eastAsia="仿宋_GB2312"/>
                <w:sz w:val="24"/>
                <w:szCs w:val="24"/>
              </w:rPr>
              <w:t>4</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p>
        </w:tc>
      </w:tr>
    </w:tbl>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四、竞赛方式</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．本竞赛为团体赛。以院校为单位组队参赛，不得跨校组队。同一学校相同项目报名参赛队不超过</w:t>
      </w:r>
      <w:r>
        <w:rPr>
          <w:rFonts w:ascii="仿宋_GB2312" w:eastAsia="仿宋_GB2312"/>
          <w:sz w:val="28"/>
          <w:szCs w:val="28"/>
        </w:rPr>
        <w:t>1</w:t>
      </w:r>
      <w:r>
        <w:rPr>
          <w:rFonts w:hint="eastAsia" w:ascii="仿宋_GB2312" w:eastAsia="仿宋_GB2312"/>
          <w:sz w:val="28"/>
          <w:szCs w:val="28"/>
        </w:rPr>
        <w:t>支。每队4名选手，不超过2名指导教师。</w:t>
      </w:r>
      <w:r>
        <w:rPr>
          <w:rFonts w:eastAsia="仿宋_GB2312"/>
          <w:bCs/>
          <w:color w:val="000000"/>
          <w:kern w:val="0"/>
          <w:sz w:val="30"/>
          <w:szCs w:val="30"/>
        </w:rPr>
        <w:t>参赛选手须为高职院校全日制在籍学生；本科院校中高职类全日制在籍学生</w:t>
      </w:r>
      <w:r>
        <w:rPr>
          <w:rFonts w:hint="eastAsia" w:eastAsia="仿宋_GB2312"/>
          <w:bCs/>
          <w:color w:val="000000"/>
          <w:kern w:val="0"/>
          <w:sz w:val="30"/>
          <w:szCs w:val="30"/>
        </w:rPr>
        <w:t>、</w:t>
      </w:r>
      <w:r>
        <w:rPr>
          <w:rFonts w:eastAsia="仿宋_GB2312"/>
          <w:bCs/>
          <w:color w:val="000000"/>
          <w:kern w:val="0"/>
          <w:sz w:val="30"/>
          <w:szCs w:val="30"/>
        </w:rPr>
        <w:t>五年制高职四、五年级学生可报名参加高职组比赛</w:t>
      </w:r>
      <w:r>
        <w:rPr>
          <w:rFonts w:hint="eastAsia" w:eastAsia="仿宋_GB2312"/>
          <w:bCs/>
          <w:color w:val="000000"/>
          <w:kern w:val="0"/>
          <w:sz w:val="30"/>
          <w:szCs w:val="30"/>
        </w:rPr>
        <w:t>，</w:t>
      </w:r>
      <w:r>
        <w:rPr>
          <w:rFonts w:eastAsia="仿宋_GB2312"/>
          <w:bCs/>
          <w:color w:val="000000"/>
          <w:kern w:val="0"/>
          <w:sz w:val="30"/>
          <w:szCs w:val="30"/>
        </w:rPr>
        <w:t>年龄不超过</w:t>
      </w:r>
      <w:r>
        <w:rPr>
          <w:rFonts w:hint="eastAsia" w:ascii="仿宋_GB2312" w:hAnsi="仿宋_GB2312" w:eastAsia="仿宋_GB2312" w:cs="仿宋_GB2312"/>
          <w:bCs/>
          <w:color w:val="000000"/>
          <w:kern w:val="0"/>
          <w:sz w:val="30"/>
          <w:szCs w:val="30"/>
        </w:rPr>
        <w:t>25</w:t>
      </w:r>
      <w:r>
        <w:rPr>
          <w:rFonts w:eastAsia="仿宋_GB2312"/>
          <w:bCs/>
          <w:color w:val="000000"/>
          <w:kern w:val="0"/>
          <w:sz w:val="30"/>
          <w:szCs w:val="30"/>
        </w:rPr>
        <w:t>周岁</w:t>
      </w:r>
      <w:r>
        <w:rPr>
          <w:rFonts w:hint="eastAsia" w:eastAsia="仿宋_GB2312"/>
          <w:bCs/>
          <w:color w:val="000000"/>
          <w:kern w:val="0"/>
          <w:sz w:val="30"/>
          <w:szCs w:val="30"/>
        </w:rPr>
        <w:t>。</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．本赛项共设4个竞赛赛场及2个汇报赛场。每个竞赛赛场有8或9个机位，</w:t>
      </w:r>
      <w:r>
        <w:rPr>
          <w:rFonts w:ascii="仿宋_GB2312" w:eastAsia="仿宋_GB2312"/>
          <w:sz w:val="28"/>
          <w:szCs w:val="28"/>
        </w:rPr>
        <w:t>1</w:t>
      </w:r>
      <w:r>
        <w:rPr>
          <w:rFonts w:hint="eastAsia" w:ascii="仿宋_GB2312" w:eastAsia="仿宋_GB2312"/>
          <w:sz w:val="28"/>
          <w:szCs w:val="28"/>
        </w:rPr>
        <w:t>个参赛队</w:t>
      </w:r>
      <w:r>
        <w:rPr>
          <w:rFonts w:ascii="仿宋_GB2312" w:eastAsia="仿宋_GB2312"/>
          <w:sz w:val="28"/>
          <w:szCs w:val="28"/>
        </w:rPr>
        <w:t>1</w:t>
      </w:r>
      <w:r>
        <w:rPr>
          <w:rFonts w:hint="eastAsia" w:ascii="仿宋_GB2312" w:eastAsia="仿宋_GB2312"/>
          <w:sz w:val="28"/>
          <w:szCs w:val="28"/>
        </w:rPr>
        <w:t>个机位，每个机位三台电脑，其中</w:t>
      </w:r>
      <w:r>
        <w:rPr>
          <w:rFonts w:ascii="仿宋_GB2312" w:eastAsia="仿宋_GB2312"/>
          <w:sz w:val="28"/>
          <w:szCs w:val="28"/>
        </w:rPr>
        <w:t>1</w:t>
      </w:r>
      <w:r>
        <w:rPr>
          <w:rFonts w:hint="eastAsia" w:ascii="仿宋_GB2312" w:eastAsia="仿宋_GB2312"/>
          <w:sz w:val="28"/>
          <w:szCs w:val="28"/>
        </w:rPr>
        <w:t>台电脑备用。每个汇报赛场配备多媒体设备一套、录音录像设备一套、评审坐席</w:t>
      </w:r>
      <w:r>
        <w:rPr>
          <w:rFonts w:ascii="仿宋_GB2312" w:eastAsia="仿宋_GB2312"/>
          <w:sz w:val="28"/>
          <w:szCs w:val="28"/>
        </w:rPr>
        <w:t>5</w:t>
      </w:r>
      <w:r>
        <w:rPr>
          <w:rFonts w:hint="eastAsia" w:ascii="仿宋_GB2312" w:eastAsia="仿宋_GB2312"/>
          <w:sz w:val="28"/>
          <w:szCs w:val="28"/>
        </w:rPr>
        <w:t>个。</w:t>
      </w:r>
    </w:p>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五、竞赛流程</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2 </w:t>
      </w:r>
      <w:r>
        <w:rPr>
          <w:rFonts w:hint="eastAsia" w:ascii="仿宋_GB2312" w:eastAsia="仿宋_GB2312"/>
          <w:sz w:val="24"/>
          <w:szCs w:val="24"/>
        </w:rPr>
        <w:t>竞赛流程</w:t>
      </w:r>
    </w:p>
    <w:tbl>
      <w:tblPr>
        <w:tblStyle w:val="13"/>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615"/>
        <w:gridCol w:w="2488"/>
        <w:gridCol w:w="25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Align w:val="center"/>
          </w:tcPr>
          <w:p>
            <w:pPr>
              <w:pStyle w:val="5"/>
              <w:jc w:val="center"/>
              <w:rPr>
                <w:rFonts w:ascii="仿宋_GB2312" w:hAnsi="仿宋" w:eastAsia="仿宋_GB2312"/>
                <w:b/>
                <w:sz w:val="24"/>
                <w:lang w:val="en-US"/>
              </w:rPr>
            </w:pPr>
            <w:r>
              <w:rPr>
                <w:rFonts w:hint="eastAsia" w:ascii="仿宋_GB2312" w:hAnsi="仿宋" w:eastAsia="仿宋_GB2312"/>
                <w:b/>
                <w:sz w:val="24"/>
                <w:lang w:val="en-US"/>
              </w:rPr>
              <w:t>日期</w:t>
            </w:r>
          </w:p>
        </w:tc>
        <w:tc>
          <w:tcPr>
            <w:tcW w:w="1615" w:type="dxa"/>
            <w:vAlign w:val="center"/>
          </w:tcPr>
          <w:p>
            <w:pPr>
              <w:pStyle w:val="5"/>
              <w:jc w:val="center"/>
              <w:rPr>
                <w:rFonts w:ascii="仿宋_GB2312" w:hAnsi="仿宋" w:eastAsia="仿宋_GB2312"/>
                <w:b/>
                <w:sz w:val="24"/>
                <w:lang w:val="en-US"/>
              </w:rPr>
            </w:pPr>
            <w:r>
              <w:rPr>
                <w:rFonts w:hint="eastAsia" w:ascii="仿宋_GB2312" w:hAnsi="仿宋" w:eastAsia="仿宋_GB2312"/>
                <w:b/>
                <w:sz w:val="24"/>
                <w:lang w:val="en-US"/>
              </w:rPr>
              <w:t>时间</w:t>
            </w:r>
          </w:p>
        </w:tc>
        <w:tc>
          <w:tcPr>
            <w:tcW w:w="2488" w:type="dxa"/>
            <w:vAlign w:val="center"/>
          </w:tcPr>
          <w:p>
            <w:pPr>
              <w:pStyle w:val="5"/>
              <w:jc w:val="center"/>
              <w:rPr>
                <w:rFonts w:ascii="仿宋_GB2312" w:hAnsi="仿宋" w:eastAsia="仿宋_GB2312"/>
                <w:b/>
                <w:sz w:val="24"/>
                <w:lang w:val="en-US"/>
              </w:rPr>
            </w:pPr>
            <w:r>
              <w:rPr>
                <w:rFonts w:hint="eastAsia" w:ascii="仿宋_GB2312" w:hAnsi="仿宋" w:eastAsia="仿宋_GB2312"/>
                <w:b/>
                <w:sz w:val="24"/>
                <w:lang w:val="en-US"/>
              </w:rPr>
              <w:t>事项</w:t>
            </w:r>
          </w:p>
        </w:tc>
        <w:tc>
          <w:tcPr>
            <w:tcW w:w="2551" w:type="dxa"/>
            <w:vAlign w:val="center"/>
          </w:tcPr>
          <w:p>
            <w:pPr>
              <w:pStyle w:val="5"/>
              <w:jc w:val="center"/>
              <w:rPr>
                <w:rFonts w:ascii="仿宋_GB2312" w:hAnsi="仿宋" w:eastAsia="仿宋_GB2312"/>
                <w:b/>
                <w:sz w:val="24"/>
                <w:lang w:val="en-US"/>
              </w:rPr>
            </w:pPr>
            <w:r>
              <w:rPr>
                <w:rFonts w:hint="eastAsia" w:ascii="仿宋_GB2312" w:hAnsi="仿宋" w:eastAsia="仿宋_GB2312"/>
                <w:b/>
                <w:sz w:val="24"/>
                <w:lang w:val="en-US"/>
              </w:rPr>
              <w:t>参加人员</w:t>
            </w:r>
          </w:p>
        </w:tc>
        <w:tc>
          <w:tcPr>
            <w:tcW w:w="1446" w:type="dxa"/>
            <w:vAlign w:val="center"/>
          </w:tcPr>
          <w:p>
            <w:pPr>
              <w:pStyle w:val="5"/>
              <w:jc w:val="center"/>
              <w:rPr>
                <w:rFonts w:ascii="仿宋_GB2312" w:hAnsi="仿宋" w:eastAsia="仿宋_GB2312"/>
                <w:b/>
                <w:sz w:val="24"/>
                <w:lang w:val="en-US"/>
              </w:rPr>
            </w:pPr>
            <w:r>
              <w:rPr>
                <w:rFonts w:hint="eastAsia" w:ascii="仿宋_GB2312" w:hAnsi="仿宋" w:eastAsia="仿宋_GB2312"/>
                <w:b/>
                <w:sz w:val="24"/>
                <w:lang w:val="en-U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restart"/>
            <w:vAlign w:val="center"/>
          </w:tcPr>
          <w:p>
            <w:pPr>
              <w:pStyle w:val="5"/>
              <w:jc w:val="center"/>
              <w:rPr>
                <w:rFonts w:ascii="仿宋_GB2312" w:hAnsi="宋体" w:eastAsia="仿宋_GB2312"/>
                <w:sz w:val="24"/>
                <w:shd w:val="clear" w:color="auto" w:fill="FFFFFF"/>
              </w:rPr>
            </w:pPr>
            <w:r>
              <w:rPr>
                <w:rFonts w:hint="eastAsia" w:ascii="仿宋_GB2312" w:hAnsi="仿宋" w:eastAsia="仿宋_GB2312"/>
                <w:sz w:val="24"/>
                <w:lang w:val="en-US"/>
              </w:rPr>
              <w:t>竞赛前</w:t>
            </w:r>
            <w:r>
              <w:rPr>
                <w:rFonts w:ascii="仿宋_GB2312" w:hAnsi="仿宋" w:eastAsia="仿宋_GB2312"/>
                <w:sz w:val="24"/>
                <w:lang w:val="en-US"/>
              </w:rPr>
              <w:t>1</w:t>
            </w:r>
            <w:r>
              <w:rPr>
                <w:rFonts w:hint="eastAsia" w:ascii="仿宋_GB2312" w:hAnsi="仿宋" w:eastAsia="仿宋_GB2312"/>
                <w:sz w:val="24"/>
                <w:lang w:val="en-US"/>
              </w:rPr>
              <w:t>日</w:t>
            </w: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14:00-</w:t>
            </w:r>
            <w:r>
              <w:rPr>
                <w:rFonts w:hint="eastAsia" w:ascii="仿宋_GB2312" w:hAnsi="宋体" w:eastAsia="仿宋_GB2312"/>
                <w:sz w:val="24"/>
                <w:szCs w:val="24"/>
                <w:shd w:val="clear" w:color="auto" w:fill="FFFFFF"/>
              </w:rPr>
              <w:t>17:00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参赛队报到，安排住宿，领取资料</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工作人员、参赛队</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:00-1</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熟悉赛场</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15:</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0-16:</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Cs w:val="21"/>
                <w:shd w:val="clear" w:color="auto" w:fill="FFFFFF"/>
              </w:rPr>
              <w:t>指导老师会议</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Cs w:val="21"/>
                <w:shd w:val="clear" w:color="auto" w:fill="FFFFFF"/>
              </w:rPr>
              <w:t>各参赛队领队、裁判长</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16:</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检查封闭赛场</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裁判长、监督组</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restart"/>
            <w:vAlign w:val="center"/>
          </w:tcPr>
          <w:p>
            <w:pPr>
              <w:pStyle w:val="5"/>
              <w:jc w:val="center"/>
              <w:rPr>
                <w:rFonts w:ascii="仿宋_GB2312" w:hAnsi="仿宋" w:eastAsia="仿宋_GB2312"/>
                <w:sz w:val="24"/>
                <w:lang w:val="en-US"/>
              </w:rPr>
            </w:pPr>
            <w:r>
              <w:rPr>
                <w:rFonts w:hint="eastAsia" w:ascii="仿宋_GB2312" w:hAnsi="仿宋" w:eastAsia="仿宋_GB2312"/>
                <w:sz w:val="24"/>
                <w:lang w:val="en-US"/>
              </w:rPr>
              <w:t>竞赛</w:t>
            </w:r>
          </w:p>
          <w:p>
            <w:pPr>
              <w:pStyle w:val="5"/>
              <w:jc w:val="center"/>
              <w:rPr>
                <w:rFonts w:ascii="仿宋_GB2312" w:hAnsi="仿宋" w:eastAsia="仿宋_GB2312"/>
                <w:sz w:val="24"/>
                <w:lang w:val="en-US"/>
              </w:rPr>
            </w:pPr>
            <w:r>
              <w:rPr>
                <w:rFonts w:hint="eastAsia" w:ascii="仿宋_GB2312" w:hAnsi="仿宋" w:eastAsia="仿宋_GB2312"/>
                <w:sz w:val="24"/>
                <w:lang w:val="en-US"/>
              </w:rPr>
              <w:t>第</w:t>
            </w:r>
            <w:r>
              <w:rPr>
                <w:rFonts w:ascii="仿宋_GB2312" w:hAnsi="仿宋" w:eastAsia="仿宋_GB2312"/>
                <w:sz w:val="24"/>
                <w:lang w:val="en-US"/>
              </w:rPr>
              <w:t>1</w:t>
            </w:r>
            <w:r>
              <w:rPr>
                <w:rFonts w:hint="eastAsia" w:ascii="仿宋_GB2312" w:hAnsi="仿宋" w:eastAsia="仿宋_GB2312"/>
                <w:sz w:val="24"/>
                <w:lang w:val="en-US"/>
              </w:rPr>
              <w:t>日</w:t>
            </w: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参赛队到达竞赛场地前集合</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大赛检录</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参赛选手，检录工作人员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第一次抽签加密（抽序号）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参赛选手、第一次加密裁判、监督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第二次抽签加密（抽工位号）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参赛选手、第二次加密裁判、监督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0-09:</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赛前准备</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参赛选手、裁判、监督、仲裁</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09:00-09:25</w:t>
            </w:r>
          </w:p>
        </w:tc>
        <w:tc>
          <w:tcPr>
            <w:tcW w:w="2488" w:type="dxa"/>
            <w:vAlign w:val="center"/>
          </w:tcPr>
          <w:p>
            <w:pPr>
              <w:shd w:val="solid" w:color="FFFFFF" w:fill="auto"/>
              <w:autoSpaceDN w:val="0"/>
              <w:jc w:val="center"/>
              <w:rPr>
                <w:rFonts w:ascii="Times New Roman" w:hAnsi="Times New Roman" w:eastAsia="仿宋_GB2312"/>
                <w:sz w:val="24"/>
                <w:szCs w:val="24"/>
                <w:shd w:val="clear" w:color="auto" w:fill="FFFFFF"/>
              </w:rPr>
            </w:pPr>
            <w:r>
              <w:rPr>
                <w:rFonts w:ascii="Times New Roman" w:hAnsi="Times New Roman" w:eastAsia="仿宋_GB2312"/>
                <w:sz w:val="24"/>
                <w:szCs w:val="24"/>
                <w:shd w:val="clear" w:color="auto" w:fill="FFFFFF"/>
              </w:rPr>
              <w:t>开赛式</w:t>
            </w:r>
          </w:p>
        </w:tc>
        <w:tc>
          <w:tcPr>
            <w:tcW w:w="2551" w:type="dxa"/>
            <w:vAlign w:val="center"/>
          </w:tcPr>
          <w:p>
            <w:pPr>
              <w:shd w:val="solid" w:color="FFFFFF" w:fill="auto"/>
              <w:autoSpaceDN w:val="0"/>
              <w:jc w:val="center"/>
              <w:rPr>
                <w:rFonts w:ascii="Times New Roman" w:hAnsi="Times New Roman" w:eastAsia="仿宋_GB2312"/>
                <w:sz w:val="24"/>
                <w:szCs w:val="24"/>
                <w:shd w:val="clear" w:color="auto" w:fill="FFFFFF"/>
              </w:rPr>
            </w:pPr>
            <w:r>
              <w:rPr>
                <w:rFonts w:ascii="Times New Roman" w:hAnsi="Times New Roman" w:eastAsia="仿宋_GB2312"/>
                <w:sz w:val="24"/>
                <w:szCs w:val="24"/>
                <w:shd w:val="clear" w:color="auto" w:fill="FFFFFF"/>
              </w:rPr>
              <w:t>所有人员</w:t>
            </w:r>
          </w:p>
        </w:tc>
        <w:tc>
          <w:tcPr>
            <w:tcW w:w="1446" w:type="dxa"/>
            <w:vAlign w:val="center"/>
          </w:tcPr>
          <w:p>
            <w:pPr>
              <w:shd w:val="solid" w:color="FFFFFF" w:fill="auto"/>
              <w:autoSpaceDN w:val="0"/>
              <w:jc w:val="center"/>
              <w:rPr>
                <w:rFonts w:ascii="Times New Roman" w:hAnsi="Times New Roman" w:eastAsia="仿宋_GB2312"/>
                <w:sz w:val="24"/>
                <w:szCs w:val="24"/>
                <w:shd w:val="clear" w:color="auto" w:fill="FFFFFF"/>
              </w:rPr>
            </w:pPr>
            <w:r>
              <w:rPr>
                <w:rFonts w:ascii="Times New Roman" w:hAnsi="Times New Roman"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Times New Roman" w:hAnsi="Times New Roman" w:eastAsia="仿宋_GB2312"/>
                <w:sz w:val="24"/>
                <w:szCs w:val="24"/>
                <w:shd w:val="clear" w:color="auto" w:fill="FFFFFF"/>
              </w:rPr>
            </w:pPr>
            <w:r>
              <w:rPr>
                <w:rFonts w:ascii="仿宋_GB2312" w:hAnsi="宋体" w:eastAsia="仿宋_GB2312"/>
                <w:sz w:val="24"/>
                <w:szCs w:val="24"/>
                <w:shd w:val="clear" w:color="auto" w:fill="FFFFFF"/>
              </w:rPr>
              <w:t>09:25-09:30</w:t>
            </w:r>
          </w:p>
        </w:tc>
        <w:tc>
          <w:tcPr>
            <w:tcW w:w="2488" w:type="dxa"/>
            <w:vAlign w:val="center"/>
          </w:tcPr>
          <w:p>
            <w:pPr>
              <w:shd w:val="solid" w:color="FFFFFF" w:fill="auto"/>
              <w:autoSpaceDN w:val="0"/>
              <w:jc w:val="center"/>
              <w:rPr>
                <w:rFonts w:ascii="Times New Roman" w:hAnsi="Times New Roman" w:eastAsia="仿宋_GB2312"/>
                <w:sz w:val="24"/>
                <w:szCs w:val="24"/>
                <w:shd w:val="clear" w:color="auto" w:fill="FFFFFF"/>
              </w:rPr>
            </w:pPr>
            <w:r>
              <w:rPr>
                <w:rFonts w:ascii="Times New Roman" w:hAnsi="Times New Roman" w:eastAsia="仿宋_GB2312"/>
                <w:sz w:val="24"/>
                <w:szCs w:val="24"/>
                <w:shd w:val="clear" w:color="auto" w:fill="FFFFFF"/>
              </w:rPr>
              <w:t>比赛选手就位，裁判员宣读竞赛须知</w:t>
            </w:r>
          </w:p>
        </w:tc>
        <w:tc>
          <w:tcPr>
            <w:tcW w:w="2551" w:type="dxa"/>
            <w:vAlign w:val="center"/>
          </w:tcPr>
          <w:p>
            <w:pPr>
              <w:shd w:val="solid" w:color="FFFFFF" w:fill="auto"/>
              <w:autoSpaceDN w:val="0"/>
              <w:jc w:val="center"/>
              <w:rPr>
                <w:rFonts w:ascii="Times New Roman" w:hAnsi="Times New Roman" w:eastAsia="仿宋_GB2312"/>
                <w:sz w:val="24"/>
                <w:szCs w:val="24"/>
                <w:shd w:val="clear" w:color="auto" w:fill="FFFFFF"/>
              </w:rPr>
            </w:pPr>
            <w:r>
              <w:rPr>
                <w:rFonts w:ascii="Times New Roman" w:hAnsi="Times New Roman" w:eastAsia="仿宋_GB2312"/>
                <w:sz w:val="24"/>
                <w:szCs w:val="24"/>
                <w:shd w:val="clear" w:color="auto" w:fill="FFFFFF"/>
              </w:rPr>
              <w:t>参赛选手、裁判、监督、仲裁</w:t>
            </w:r>
          </w:p>
        </w:tc>
        <w:tc>
          <w:tcPr>
            <w:tcW w:w="1446" w:type="dxa"/>
            <w:vAlign w:val="center"/>
          </w:tcPr>
          <w:p>
            <w:pPr>
              <w:shd w:val="solid" w:color="FFFFFF" w:fill="auto"/>
              <w:autoSpaceDN w:val="0"/>
              <w:jc w:val="center"/>
              <w:rPr>
                <w:rFonts w:ascii="Times New Roman" w:hAnsi="Times New Roman" w:eastAsia="仿宋_GB2312"/>
                <w:sz w:val="24"/>
                <w:szCs w:val="24"/>
                <w:shd w:val="clear" w:color="auto" w:fill="FFFFFF"/>
              </w:rPr>
            </w:pPr>
            <w:r>
              <w:rPr>
                <w:rFonts w:ascii="Times New Roman" w:hAnsi="Times New Roman"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09:30-10:30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商务数据分析模块</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参赛选手、裁判、专家、监督、仲裁</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10:30-10:50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比赛选手休息</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ascii="Times New Roman" w:hAnsi="Times New Roman" w:eastAsia="仿宋_GB2312"/>
                <w:sz w:val="24"/>
                <w:szCs w:val="24"/>
                <w:shd w:val="clear" w:color="auto" w:fill="FFFFFF"/>
              </w:rPr>
              <w:t>参赛选手</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10:50-12:20</w:t>
            </w:r>
          </w:p>
        </w:tc>
        <w:tc>
          <w:tcPr>
            <w:tcW w:w="2488" w:type="dxa"/>
            <w:vAlign w:val="center"/>
          </w:tcPr>
          <w:p>
            <w:pPr>
              <w:pStyle w:val="5"/>
              <w:jc w:val="center"/>
              <w:rPr>
                <w:rFonts w:ascii="仿宋_GB2312" w:hAnsi="Calibri" w:eastAsia="仿宋_GB2312"/>
                <w:sz w:val="24"/>
                <w:lang w:val="en-US"/>
              </w:rPr>
            </w:pPr>
            <w:r>
              <w:rPr>
                <w:rFonts w:hint="eastAsia" w:ascii="仿宋_GB2312" w:hAnsi="宋体" w:eastAsia="仿宋_GB2312"/>
                <w:sz w:val="24"/>
                <w:shd w:val="clear" w:color="auto" w:fill="FFFFFF"/>
              </w:rPr>
              <w:t>情境营销模块</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参赛选手、裁判、专家、监督、仲裁</w:t>
            </w:r>
          </w:p>
        </w:tc>
        <w:tc>
          <w:tcPr>
            <w:tcW w:w="1446" w:type="dxa"/>
            <w:vAlign w:val="center"/>
          </w:tcPr>
          <w:p>
            <w:pPr>
              <w:pStyle w:val="5"/>
              <w:jc w:val="center"/>
              <w:rPr>
                <w:rFonts w:ascii="仿宋_GB2312" w:hAnsi="仿宋" w:eastAsia="仿宋_GB2312"/>
                <w:sz w:val="24"/>
                <w:lang w:val="en-US"/>
              </w:rPr>
            </w:pPr>
            <w:r>
              <w:rPr>
                <w:rFonts w:hint="eastAsia" w:ascii="仿宋_GB2312" w:hAnsi="宋体" w:eastAsia="仿宋_GB2312"/>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12:20-13:00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参赛选手午餐</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13:00-16:30</w:t>
            </w:r>
          </w:p>
        </w:tc>
        <w:tc>
          <w:tcPr>
            <w:tcW w:w="2488" w:type="dxa"/>
            <w:vAlign w:val="center"/>
          </w:tcPr>
          <w:p>
            <w:pPr>
              <w:pStyle w:val="5"/>
              <w:jc w:val="center"/>
              <w:rPr>
                <w:rFonts w:ascii="仿宋_GB2312" w:hAnsi="Calibri" w:eastAsia="仿宋_GB2312"/>
                <w:sz w:val="24"/>
                <w:lang w:val="en-US"/>
              </w:rPr>
            </w:pPr>
            <w:r>
              <w:rPr>
                <w:rFonts w:hint="eastAsia" w:ascii="仿宋_GB2312" w:hAnsi="宋体" w:eastAsia="仿宋_GB2312"/>
                <w:sz w:val="24"/>
                <w:shd w:val="clear" w:color="auto" w:fill="FFFFFF"/>
              </w:rPr>
              <w:t>情境营销模块</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参赛选手、裁判、专家、监督、仲裁</w:t>
            </w:r>
          </w:p>
        </w:tc>
        <w:tc>
          <w:tcPr>
            <w:tcW w:w="1446" w:type="dxa"/>
            <w:vAlign w:val="center"/>
          </w:tcPr>
          <w:p>
            <w:pPr>
              <w:pStyle w:val="5"/>
              <w:jc w:val="center"/>
              <w:rPr>
                <w:rFonts w:ascii="仿宋_GB2312" w:hAnsi="仿宋" w:eastAsia="仿宋_GB2312"/>
                <w:sz w:val="24"/>
                <w:lang w:val="en-US"/>
              </w:rPr>
            </w:pPr>
            <w:r>
              <w:rPr>
                <w:rFonts w:hint="eastAsia" w:ascii="仿宋_GB2312" w:hAnsi="宋体" w:eastAsia="仿宋_GB2312"/>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restart"/>
            <w:vAlign w:val="center"/>
          </w:tcPr>
          <w:p>
            <w:pPr>
              <w:pStyle w:val="5"/>
              <w:jc w:val="center"/>
              <w:rPr>
                <w:rFonts w:ascii="仿宋_GB2312" w:hAnsi="仿宋" w:eastAsia="仿宋_GB2312"/>
                <w:sz w:val="24"/>
                <w:lang w:val="en-US"/>
              </w:rPr>
            </w:pPr>
            <w:r>
              <w:rPr>
                <w:rFonts w:hint="eastAsia" w:ascii="仿宋_GB2312" w:hAnsi="仿宋" w:eastAsia="仿宋_GB2312"/>
                <w:sz w:val="24"/>
                <w:lang w:val="en-US"/>
              </w:rPr>
              <w:t>竞赛</w:t>
            </w:r>
          </w:p>
          <w:p>
            <w:pPr>
              <w:pStyle w:val="5"/>
              <w:jc w:val="center"/>
              <w:rPr>
                <w:rFonts w:ascii="仿宋_GB2312" w:hAnsi="仿宋" w:eastAsia="仿宋_GB2312"/>
                <w:sz w:val="24"/>
                <w:lang w:val="en-US"/>
              </w:rPr>
            </w:pPr>
            <w:r>
              <w:rPr>
                <w:rFonts w:hint="eastAsia" w:ascii="仿宋_GB2312" w:hAnsi="仿宋" w:eastAsia="仿宋_GB2312"/>
                <w:sz w:val="24"/>
                <w:lang w:val="en-US"/>
              </w:rPr>
              <w:t>第</w:t>
            </w:r>
            <w:r>
              <w:rPr>
                <w:rFonts w:ascii="仿宋_GB2312" w:hAnsi="仿宋" w:eastAsia="仿宋_GB2312"/>
                <w:sz w:val="24"/>
                <w:lang w:val="en-US"/>
              </w:rPr>
              <w:t>2</w:t>
            </w:r>
            <w:r>
              <w:rPr>
                <w:rFonts w:hint="eastAsia" w:ascii="仿宋_GB2312" w:hAnsi="仿宋" w:eastAsia="仿宋_GB2312"/>
                <w:sz w:val="24"/>
                <w:lang w:val="en-US"/>
              </w:rPr>
              <w:t>日</w:t>
            </w: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参赛队到达竞赛场地前集合</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大赛检录</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参赛选手、检录工作人员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第一次抽签加密（抽序号）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参赛选手、第一次加密裁判、监督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第二次抽签加密（抽工位号）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参赛选手、第二次加密裁判、监督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0-09:</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w:t>
            </w:r>
          </w:p>
        </w:tc>
        <w:tc>
          <w:tcPr>
            <w:tcW w:w="2488" w:type="dxa"/>
            <w:vAlign w:val="center"/>
          </w:tcPr>
          <w:p>
            <w:pPr>
              <w:pStyle w:val="5"/>
              <w:jc w:val="center"/>
              <w:rPr>
                <w:rFonts w:ascii="仿宋_GB2312" w:hAnsi="仿宋" w:eastAsia="仿宋_GB2312"/>
                <w:sz w:val="24"/>
                <w:lang w:val="en-US"/>
              </w:rPr>
            </w:pPr>
            <w:r>
              <w:rPr>
                <w:rFonts w:hint="eastAsia" w:ascii="仿宋_GB2312" w:hAnsi="宋体" w:eastAsia="仿宋_GB2312"/>
                <w:sz w:val="24"/>
                <w:shd w:val="clear" w:color="auto" w:fill="FFFFFF"/>
              </w:rPr>
              <w:t>比赛选手就位，裁判员宣读竞赛须知</w:t>
            </w:r>
          </w:p>
        </w:tc>
        <w:tc>
          <w:tcPr>
            <w:tcW w:w="2551" w:type="dxa"/>
            <w:vAlign w:val="center"/>
          </w:tcPr>
          <w:p>
            <w:pPr>
              <w:shd w:val="solid" w:color="FFFFFF" w:fill="auto"/>
              <w:autoSpaceDN w:val="0"/>
              <w:jc w:val="center"/>
              <w:rPr>
                <w:rFonts w:ascii="仿宋_GB2312" w:hAnsi="仿宋" w:eastAsia="仿宋_GB2312"/>
                <w:sz w:val="24"/>
                <w:szCs w:val="24"/>
              </w:rPr>
            </w:pPr>
            <w:r>
              <w:rPr>
                <w:rFonts w:hint="eastAsia" w:ascii="仿宋_GB2312" w:hAnsi="宋体" w:eastAsia="仿宋_GB2312"/>
                <w:sz w:val="24"/>
                <w:szCs w:val="24"/>
                <w:shd w:val="clear" w:color="auto" w:fill="FFFFFF"/>
              </w:rPr>
              <w:t>参赛选手、裁判、监督、</w:t>
            </w:r>
            <w:r>
              <w:rPr>
                <w:rFonts w:ascii="Times New Roman" w:hAnsi="Times New Roman" w:eastAsia="仿宋_GB2312"/>
                <w:sz w:val="24"/>
                <w:szCs w:val="24"/>
                <w:shd w:val="clear" w:color="auto" w:fill="FFFFFF"/>
              </w:rPr>
              <w:t>仲裁</w:t>
            </w:r>
          </w:p>
        </w:tc>
        <w:tc>
          <w:tcPr>
            <w:tcW w:w="1446" w:type="dxa"/>
            <w:vAlign w:val="center"/>
          </w:tcPr>
          <w:p>
            <w:pPr>
              <w:pStyle w:val="5"/>
              <w:jc w:val="center"/>
              <w:rPr>
                <w:rFonts w:ascii="仿宋_GB2312" w:hAnsi="仿宋" w:eastAsia="仿宋_GB2312"/>
                <w:sz w:val="24"/>
                <w:lang w:val="en-US"/>
              </w:rPr>
            </w:pPr>
            <w:r>
              <w:rPr>
                <w:rFonts w:hint="eastAsia" w:ascii="仿宋_GB2312" w:hAnsi="宋体" w:eastAsia="仿宋_GB2312"/>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pStyle w:val="5"/>
              <w:jc w:val="center"/>
              <w:rPr>
                <w:rFonts w:ascii="仿宋_GB2312" w:hAnsi="仿宋" w:eastAsia="仿宋_GB2312"/>
                <w:sz w:val="24"/>
                <w:lang w:val="en-US"/>
              </w:rPr>
            </w:pPr>
            <w:r>
              <w:rPr>
                <w:rFonts w:ascii="仿宋_GB2312" w:hAnsi="宋体" w:eastAsia="仿宋_GB2312"/>
                <w:sz w:val="24"/>
                <w:shd w:val="clear" w:color="auto" w:fill="FFFFFF"/>
              </w:rPr>
              <w:t>0</w:t>
            </w:r>
            <w:r>
              <w:rPr>
                <w:rFonts w:hint="eastAsia" w:ascii="仿宋_GB2312" w:hAnsi="宋体" w:eastAsia="仿宋_GB2312"/>
                <w:sz w:val="24"/>
                <w:shd w:val="clear" w:color="auto" w:fill="FFFFFF"/>
              </w:rPr>
              <w:t>9</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r>
              <w:rPr>
                <w:rFonts w:hint="eastAsia" w:ascii="仿宋_GB2312" w:hAnsi="宋体" w:eastAsia="仿宋_GB2312"/>
                <w:sz w:val="24"/>
                <w:shd w:val="clear" w:color="auto" w:fill="FFFFFF"/>
              </w:rPr>
              <w:t>10</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营销实战展示模块word方案及</w:t>
            </w:r>
            <w:r>
              <w:rPr>
                <w:rFonts w:ascii="仿宋_GB2312" w:hAnsi="宋体" w:eastAsia="仿宋_GB2312"/>
                <w:sz w:val="24"/>
                <w:szCs w:val="24"/>
                <w:shd w:val="clear" w:color="auto" w:fill="FFFFFF"/>
              </w:rPr>
              <w:t>PPT</w:t>
            </w:r>
            <w:r>
              <w:rPr>
                <w:rFonts w:hint="eastAsia" w:ascii="仿宋_GB2312" w:hAnsi="宋体" w:eastAsia="仿宋_GB2312"/>
                <w:sz w:val="24"/>
                <w:szCs w:val="24"/>
                <w:shd w:val="clear" w:color="auto" w:fill="FFFFFF"/>
              </w:rPr>
              <w:t>制作</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参赛选手、裁判、专家、仲裁、监督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pStyle w:val="5"/>
              <w:jc w:val="center"/>
              <w:rPr>
                <w:rFonts w:ascii="仿宋_GB2312" w:hAnsi="宋体" w:eastAsia="仿宋_GB2312"/>
                <w:sz w:val="24"/>
                <w:shd w:val="clear" w:color="auto" w:fill="FFFFFF"/>
              </w:rPr>
            </w:pPr>
            <w:r>
              <w:rPr>
                <w:rFonts w:ascii="仿宋_GB2312" w:hAnsi="宋体" w:eastAsia="仿宋_GB2312"/>
                <w:sz w:val="24"/>
                <w:shd w:val="clear" w:color="auto" w:fill="FFFFFF"/>
              </w:rPr>
              <w:t>1</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0-1</w:t>
            </w:r>
            <w:r>
              <w:rPr>
                <w:rFonts w:hint="eastAsia" w:ascii="仿宋_GB2312" w:hAnsi="宋体" w:eastAsia="仿宋_GB2312"/>
                <w:sz w:val="24"/>
                <w:shd w:val="clear" w:color="auto" w:fill="FFFFFF"/>
              </w:rPr>
              <w:t>1</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p>
        </w:tc>
        <w:tc>
          <w:tcPr>
            <w:tcW w:w="2488" w:type="dxa"/>
            <w:vAlign w:val="center"/>
          </w:tcPr>
          <w:p>
            <w:pPr>
              <w:pStyle w:val="5"/>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参赛学生午餐</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pStyle w:val="5"/>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11</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r>
              <w:rPr>
                <w:rFonts w:hint="eastAsia" w:ascii="仿宋_GB2312" w:hAnsi="宋体" w:eastAsia="仿宋_GB2312"/>
                <w:sz w:val="24"/>
                <w:shd w:val="clear" w:color="auto" w:fill="FFFFFF"/>
              </w:rPr>
              <w:t>14</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p>
        </w:tc>
        <w:tc>
          <w:tcPr>
            <w:tcW w:w="2488" w:type="dxa"/>
            <w:vAlign w:val="center"/>
          </w:tcPr>
          <w:p>
            <w:pPr>
              <w:pStyle w:val="5"/>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营销实战展示</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参赛选手、裁判、专家、监督、仲裁</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7" w:type="dxa"/>
            <w:vMerge w:val="continue"/>
            <w:vAlign w:val="center"/>
          </w:tcPr>
          <w:p>
            <w:pPr>
              <w:pStyle w:val="5"/>
              <w:jc w:val="center"/>
              <w:rPr>
                <w:rFonts w:ascii="仿宋_GB2312" w:hAnsi="仿宋" w:eastAsia="仿宋_GB2312"/>
                <w:sz w:val="24"/>
                <w:lang w:val="en-US"/>
              </w:rPr>
            </w:pPr>
          </w:p>
        </w:tc>
        <w:tc>
          <w:tcPr>
            <w:tcW w:w="1615" w:type="dxa"/>
            <w:vAlign w:val="center"/>
          </w:tcPr>
          <w:p>
            <w:pPr>
              <w:pStyle w:val="5"/>
              <w:jc w:val="center"/>
              <w:rPr>
                <w:rFonts w:ascii="仿宋_GB2312" w:hAnsi="仿宋" w:eastAsia="仿宋_GB2312"/>
                <w:sz w:val="24"/>
                <w:lang w:val="en-US"/>
              </w:rPr>
            </w:pPr>
            <w:r>
              <w:rPr>
                <w:rFonts w:hint="eastAsia" w:ascii="仿宋_GB2312" w:hAnsi="仿宋" w:eastAsia="仿宋_GB2312"/>
                <w:sz w:val="24"/>
                <w:lang w:val="en-US"/>
              </w:rPr>
              <w:t>14:00-17:00</w:t>
            </w:r>
          </w:p>
        </w:tc>
        <w:tc>
          <w:tcPr>
            <w:tcW w:w="2488" w:type="dxa"/>
            <w:vAlign w:val="center"/>
          </w:tcPr>
          <w:p>
            <w:pPr>
              <w:pStyle w:val="5"/>
              <w:jc w:val="center"/>
              <w:rPr>
                <w:rFonts w:ascii="仿宋_GB2312" w:hAnsi="仿宋" w:eastAsia="仿宋_GB2312"/>
                <w:sz w:val="24"/>
                <w:lang w:val="en-US"/>
              </w:rPr>
            </w:pPr>
            <w:r>
              <w:rPr>
                <w:rFonts w:hint="eastAsia" w:ascii="仿宋_GB2312" w:hAnsi="仿宋" w:eastAsia="仿宋_GB2312"/>
                <w:sz w:val="24"/>
                <w:lang w:val="en-US"/>
              </w:rPr>
              <w:t>专家统计汇总成绩</w:t>
            </w:r>
          </w:p>
        </w:tc>
        <w:tc>
          <w:tcPr>
            <w:tcW w:w="2551" w:type="dxa"/>
            <w:vAlign w:val="center"/>
          </w:tcPr>
          <w:p>
            <w:pPr>
              <w:pStyle w:val="5"/>
              <w:jc w:val="center"/>
              <w:rPr>
                <w:rFonts w:ascii="仿宋_GB2312" w:hAnsi="仿宋" w:eastAsia="仿宋_GB2312"/>
                <w:sz w:val="24"/>
                <w:lang w:val="en-US"/>
              </w:rPr>
            </w:pPr>
            <w:r>
              <w:rPr>
                <w:rFonts w:hint="eastAsia" w:ascii="仿宋_GB2312" w:hAnsi="宋体" w:eastAsia="仿宋_GB2312"/>
                <w:sz w:val="24"/>
                <w:shd w:val="clear" w:color="auto" w:fill="FFFFFF"/>
              </w:rPr>
              <w:t>裁判、专家、监督、仲裁</w:t>
            </w:r>
          </w:p>
        </w:tc>
        <w:tc>
          <w:tcPr>
            <w:tcW w:w="1446" w:type="dxa"/>
            <w:vAlign w:val="center"/>
          </w:tcPr>
          <w:p>
            <w:pPr>
              <w:pStyle w:val="5"/>
              <w:jc w:val="center"/>
              <w:rPr>
                <w:rFonts w:ascii="仿宋_GB2312" w:hAnsi="仿宋" w:eastAsia="仿宋_GB2312"/>
                <w:sz w:val="24"/>
                <w:lang w:val="en-US"/>
              </w:rPr>
            </w:pPr>
            <w:r>
              <w:rPr>
                <w:rFonts w:hint="eastAsia" w:eastAsia="仿宋_GB2312"/>
                <w:sz w:val="24"/>
              </w:rPr>
              <w:t>上传本赛项群</w:t>
            </w:r>
          </w:p>
        </w:tc>
      </w:tr>
    </w:tbl>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六、竞赛赛卷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本赛项包括</w:t>
      </w:r>
      <w:r>
        <w:rPr>
          <w:rFonts w:hint="eastAsia" w:ascii="仿宋_GB2312" w:hAnsi="Arial Narrow" w:eastAsia="仿宋_GB2312" w:cs="Arial"/>
          <w:sz w:val="28"/>
          <w:szCs w:val="28"/>
        </w:rPr>
        <w:t>营销实战展示、</w:t>
      </w:r>
      <w:r>
        <w:rPr>
          <w:rFonts w:hint="eastAsia" w:ascii="仿宋_GB2312" w:eastAsia="仿宋_GB2312"/>
          <w:sz w:val="28"/>
          <w:szCs w:val="28"/>
        </w:rPr>
        <w:t>商务数据分析和情境营销三个模块。</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（一）营销实战展示（</w:t>
      </w:r>
      <w:r>
        <w:rPr>
          <w:rFonts w:ascii="仿宋_GB2312" w:eastAsia="仿宋_GB2312"/>
          <w:sz w:val="28"/>
          <w:szCs w:val="28"/>
        </w:rPr>
        <w:t>15</w:t>
      </w:r>
      <w:r>
        <w:rPr>
          <w:rFonts w:hint="eastAsia" w:ascii="仿宋_GB2312" w:eastAsia="仿宋_GB2312"/>
          <w:sz w:val="28"/>
          <w:szCs w:val="28"/>
        </w:rPr>
        <w:t>分）</w:t>
      </w:r>
    </w:p>
    <w:p>
      <w:pPr>
        <w:spacing w:line="560" w:lineRule="exact"/>
        <w:ind w:firstLine="560" w:firstLineChars="200"/>
        <w:jc w:val="left"/>
        <w:rPr>
          <w:rFonts w:ascii="仿宋_GB2312" w:eastAsia="仿宋_GB2312"/>
          <w:color w:val="FF0000"/>
          <w:sz w:val="28"/>
          <w:szCs w:val="28"/>
        </w:rPr>
      </w:pPr>
      <w:r>
        <w:rPr>
          <w:rFonts w:hint="eastAsia" w:ascii="仿宋_GB2312" w:eastAsia="仿宋_GB2312"/>
          <w:sz w:val="28"/>
          <w:szCs w:val="28"/>
        </w:rPr>
        <w:t>参赛院校选取真实商品在真实市场环境中进行真实营销典型职业活动，于竞赛当天在赛场完成活动方案和过程管理的总结文案，并按要求借助PPT进行现场汇报，允许使用</w:t>
      </w:r>
      <w:r>
        <w:rPr>
          <w:rFonts w:ascii="仿宋_GB2312" w:eastAsia="仿宋_GB2312"/>
          <w:sz w:val="28"/>
          <w:szCs w:val="28"/>
        </w:rPr>
        <w:t>Excel</w:t>
      </w:r>
      <w:r>
        <w:rPr>
          <w:rFonts w:hint="eastAsia" w:ascii="仿宋_GB2312" w:eastAsia="仿宋_GB2312"/>
          <w:sz w:val="28"/>
          <w:szCs w:val="28"/>
        </w:rPr>
        <w:t>、</w:t>
      </w:r>
      <w:r>
        <w:rPr>
          <w:rFonts w:ascii="仿宋_GB2312" w:eastAsia="仿宋_GB2312"/>
          <w:sz w:val="28"/>
          <w:szCs w:val="28"/>
        </w:rPr>
        <w:t>Word</w:t>
      </w:r>
      <w:r>
        <w:rPr>
          <w:rFonts w:hint="eastAsia" w:ascii="仿宋_GB2312" w:eastAsia="仿宋_GB2312"/>
          <w:sz w:val="28"/>
          <w:szCs w:val="28"/>
        </w:rPr>
        <w:t>、</w:t>
      </w:r>
      <w:r>
        <w:rPr>
          <w:rFonts w:ascii="仿宋_GB2312" w:eastAsia="仿宋_GB2312"/>
          <w:sz w:val="28"/>
          <w:szCs w:val="28"/>
        </w:rPr>
        <w:t>PowerPoint</w:t>
      </w:r>
      <w:r>
        <w:rPr>
          <w:rFonts w:hint="eastAsia" w:ascii="仿宋_GB2312" w:eastAsia="仿宋_GB2312"/>
          <w:sz w:val="28"/>
          <w:szCs w:val="28"/>
        </w:rPr>
        <w:t>软件进行辅助操作。营销活动选题从“市场调研实战”、“产品促销实战”、“全渠道推广实战”中选取一种。</w:t>
      </w:r>
      <w:r>
        <w:rPr>
          <w:rFonts w:hint="eastAsia" w:ascii="仿宋_GB2312" w:eastAsia="仿宋_GB2312"/>
          <w:color w:val="000000" w:themeColor="text1"/>
          <w:sz w:val="28"/>
          <w:szCs w:val="28"/>
          <w14:textFill>
            <w14:solidFill>
              <w14:schemeClr w14:val="tx1"/>
            </w14:solidFill>
          </w14:textFill>
        </w:rPr>
        <w:t>承诺于开赛1个月前在大赛网络信息发布平台上（</w:t>
      </w:r>
      <w:r>
        <w:rPr>
          <w:rFonts w:ascii="仿宋_GB2312" w:eastAsia="仿宋_GB2312"/>
          <w:color w:val="000000" w:themeColor="text1"/>
          <w:sz w:val="28"/>
          <w:szCs w:val="28"/>
          <w14:textFill>
            <w14:solidFill>
              <w14:schemeClr w14:val="tx1"/>
            </w14:solidFill>
          </w14:textFill>
        </w:rPr>
        <w:t>http://www.fjzyjy.com</w:t>
      </w:r>
      <w:r>
        <w:rPr>
          <w:rFonts w:hint="eastAsia" w:ascii="仿宋_GB2312" w:eastAsia="仿宋_GB2312"/>
          <w:color w:val="000000" w:themeColor="text1"/>
          <w:sz w:val="28"/>
          <w:szCs w:val="28"/>
          <w14:textFill>
            <w14:solidFill>
              <w14:schemeClr w14:val="tx1"/>
            </w14:solidFill>
          </w14:textFill>
        </w:rPr>
        <w:t>)公开赛卷。样卷如下。</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选题一：市场调研实战</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1．企业背景介绍</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山东文正衣品股份有限公司（股票名称：文正股份；股票代码：831556）是一家“新三板”挂牌公司，座落于山东省日照市莒县经济开发区。公司拥有两万平米的现代化标准厂房，千余台先进的电脑缝制设备，二十多家分厂，近千名员工，年生产能力达五百万（件）套，出口额一直领先日照市服装行业。主要产品有精品时装、休闲装、制服工装、校服、医护服装等十几个系列。</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2014年12月，“文正股份”成功登陆“新三板”市场，成为莒县第一家、日照市第三家在“新三板”挂牌上市的企业。上市后，文正衣品迅速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目前文正衣品计划开拓大学生校园市场，主要考虑了三种服装类别：商务正装、牛仔类休闲装和其他类休闲装。</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2．请在赛前1个月内，设计市场调研方案并实施，确定文正衣品校园市场主营服装类别，并了解该服装类别下的消费者需求偏好等，为该企业开拓校园市场提供决策依据。</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3．请在竞赛当日1小时内，借助Word完成市场调研方案撰写，借助PowerPoint完成调研活动过程管理汇报总结。</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（1）Word市场调研方案撰写</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包含但不限于以下几个方面：调研范围及目的、调研方法、与调研方法对应的物料准备、样本数量、调研安排、突发事件处理等。</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（2）市场调研过程管理汇报PPT制作</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主要针对市场调研实施情况进行总结，包含但不限于以下几个方面：调研方案简介、实施过程简介、遇到的问题及解决办法、活动总结等。</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4．按抽签顺序依次进入汇报场地进行展示汇报（不超过5分钟）。</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（1）普通话标准，口齿清晰，表达流利，声音洪亮，节奏适中；无明显的停顿、磕巴；在规定时间内团队2人以上共同完成展示陈述任务。</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（2）团队衣着整洁，在汇报过程中表情自然大方，注意基本的礼仪，能够尊重评委，文明用语。</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（3）在文案作品及学生汇报过程中不得出现任何学校名称、选手姓名等可暴露参赛选手身份的相关信息。</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选题2：产品促销实战</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1．可选商品种类</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可口可乐系列产品；统一方便面系列产品；宝洁洗发水系列产品；康师傅饼干系列产品；金锣火腿肠类系列产品。</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2．请在赛前1个月内，从规定的商品种类中任选一种或几种商品的组合，针对本校市场进行促销活动策划，并进行为期至少一个星期的促销活动实施。</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3．请在竞赛当日1小时内，借助Word完成促销活动策划方案撰写，借助PowerPoint完成促销活动实施效果总结。</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（1）Word产品促销活动策划方案撰写</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主要针对促销活动策划方案进行撰写，包含但不限于以下几个方面：市场分析、活动目的、目标人群、活动时间、活动主题、活动方式、活动的推广方式、人员安排与组织、费用预算等。</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（2）产品促销过程管理PPT制作</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主要针对实施效果进行总结，包含但不限于以下几个方面：活动策划方案简介、实施过程简介、遇到的问题及解决办法、活动总结等。</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4．按抽签顺序依次进入汇报场地进行展示汇报（不超过5分钟）。</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（1）普通话标准，口齿清晰，表达流利，声音洪亮，节奏适中；无明显的停顿、磕巴；在规定时间内团队2人以上共同完成展示陈述任务。</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（2）团队衣着整洁，在汇报过程中表情自然大方，注意基本的礼仪，能够尊重评委，文明用语。</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（3）在文案作品及学生汇报过程中不得出现任何学校名称、选手姓名等可暴露参赛选手身份的相关信息。</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选题三：全渠道推广实战</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1．企业及产品资料</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青岛啤酒产自青岛啤酒股份有限公司，公司的前身是国营青岛啤酒厂，1903年由英、德两国商人合资开办，是最早的啤酒生产企业之一。2008年北京奥运会官方赞助商，跻身世界品牌500强。青岛啤酒选用优质大麦、大米、上等啤酒花和软硬适度、洁净甘美的崂山矿泉水为原料酿制而成。原麦汁浓度为十二度，酒精含量3.5-4%。酒液清澈透明、呈淡黄色，泡沫清白、细腻而持久。</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青岛啤酒为提升品牌知名度、促进鸿运当头产品的传播深度，特举办以鸿运当头定制版产品为推广对象的全渠道品牌推广实战比赛。</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鸿运当头定制版产品特点：在原有青岛啤酒鸿运当头产品的基础上，消费者购买时可根据自己的需要在瓶体上刻上纪念文字、图案、照片等。高端啤酒鸿运当头+纪念文字/图案/照片，让纪念更有意义。</w:t>
      </w:r>
    </w:p>
    <w:p>
      <w:pPr>
        <w:jc w:val="left"/>
        <w:rPr>
          <w:rFonts w:ascii="仿宋_GB2312" w:eastAsia="仿宋_GB2312"/>
          <w:sz w:val="28"/>
          <w:szCs w:val="28"/>
        </w:rPr>
      </w:pPr>
      <w:r>
        <w:rPr>
          <w:rFonts w:hint="eastAsia" w:ascii="微软雅黑" w:hAnsi="微软雅黑" w:eastAsia="微软雅黑" w:cs="微软雅黑"/>
          <w:sz w:val="28"/>
          <w:szCs w:val="28"/>
        </w:rPr>
        <w:drawing>
          <wp:inline distT="0" distB="0" distL="114300" distR="114300">
            <wp:extent cx="1703705" cy="1703705"/>
            <wp:effectExtent l="0" t="0" r="10795" b="10795"/>
            <wp:docPr id="7" name="图片 7" descr="微信图片_2018022814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80228145857"/>
                    <pic:cNvPicPr>
                      <a:picLocks noChangeAspect="1"/>
                    </pic:cNvPicPr>
                  </pic:nvPicPr>
                  <pic:blipFill>
                    <a:blip r:embed="rId5"/>
                    <a:stretch>
                      <a:fillRect/>
                    </a:stretch>
                  </pic:blipFill>
                  <pic:spPr>
                    <a:xfrm>
                      <a:off x="0" y="0"/>
                      <a:ext cx="1703705" cy="1703705"/>
                    </a:xfrm>
                    <a:prstGeom prst="rect">
                      <a:avLst/>
                    </a:prstGeom>
                  </pic:spPr>
                </pic:pic>
              </a:graphicData>
            </a:graphic>
          </wp:inline>
        </w:drawing>
      </w:r>
      <w:r>
        <w:rPr>
          <w:rFonts w:hint="eastAsia" w:ascii="微软雅黑" w:hAnsi="微软雅黑" w:eastAsia="微软雅黑" w:cs="微软雅黑"/>
          <w:sz w:val="28"/>
          <w:szCs w:val="28"/>
        </w:rPr>
        <w:drawing>
          <wp:inline distT="0" distB="0" distL="114300" distR="114300">
            <wp:extent cx="1703705" cy="1703705"/>
            <wp:effectExtent l="0" t="0" r="10795" b="10795"/>
            <wp:docPr id="8" name="图片 8" descr="微信图片_2018022814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80228145843"/>
                    <pic:cNvPicPr>
                      <a:picLocks noChangeAspect="1"/>
                    </pic:cNvPicPr>
                  </pic:nvPicPr>
                  <pic:blipFill>
                    <a:blip r:embed="rId6"/>
                    <a:stretch>
                      <a:fillRect/>
                    </a:stretch>
                  </pic:blipFill>
                  <pic:spPr>
                    <a:xfrm>
                      <a:off x="0" y="0"/>
                      <a:ext cx="1703705" cy="1703705"/>
                    </a:xfrm>
                    <a:prstGeom prst="rect">
                      <a:avLst/>
                    </a:prstGeom>
                  </pic:spPr>
                </pic:pic>
              </a:graphicData>
            </a:graphic>
          </wp:inline>
        </w:drawing>
      </w:r>
      <w:r>
        <w:rPr>
          <w:rFonts w:hint="eastAsia" w:ascii="微软雅黑" w:hAnsi="微软雅黑" w:eastAsia="微软雅黑" w:cs="微软雅黑"/>
          <w:sz w:val="28"/>
          <w:szCs w:val="28"/>
        </w:rPr>
        <w:drawing>
          <wp:inline distT="0" distB="0" distL="114300" distR="114300">
            <wp:extent cx="1680845" cy="1962785"/>
            <wp:effectExtent l="0" t="0" r="14605" b="18415"/>
            <wp:docPr id="9" name="图片 9" descr="微信图片_2018022815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80228150207"/>
                    <pic:cNvPicPr>
                      <a:picLocks noChangeAspect="1"/>
                    </pic:cNvPicPr>
                  </pic:nvPicPr>
                  <pic:blipFill>
                    <a:blip r:embed="rId7"/>
                    <a:stretch>
                      <a:fillRect/>
                    </a:stretch>
                  </pic:blipFill>
                  <pic:spPr>
                    <a:xfrm>
                      <a:off x="0" y="0"/>
                      <a:ext cx="1680845" cy="1962785"/>
                    </a:xfrm>
                    <a:prstGeom prst="rect">
                      <a:avLst/>
                    </a:prstGeom>
                  </pic:spPr>
                </pic:pic>
              </a:graphicData>
            </a:graphic>
          </wp:inline>
        </w:drawing>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2．请在赛前1个月内，以指定产品（青岛啤酒鸿运当头定制版）为推广对象，以提升青岛啤酒品牌形象和鸿运当头定制版产品知名度为目标，设计全渠道品牌推广方案并实施。</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3．请在竞赛当日1小时内，借助Word完成全渠道推广策划方案撰写，借助PowerPoint完成全渠道推广活动实施效果总结。</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（1）Word产品全渠道推广策划方案撰写</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主要针对全渠道推广策划方案进行撰写，包含但不限于以下几个方面：推广目标、受众分析、推广主题、广告内容、表现形式（海报、创意短视频、微电影、软文等）、媒介选择（包括传统媒介和新媒体平台）及投放策略、费用预算、效果预测等。</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（2）全渠道推广过程管理PPT制作</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主要针对实施效果进行总结，包含但不限于以下几个方面：推广方案简介、组织分工、实施过程控制、活动总结等。</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4．按抽签顺序依次进入汇报场地进行展示汇报（不超过5分钟）。</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（1）普通话标准，口齿清晰，表达流利，声音洪亮，节奏适中；无明显的停顿、磕巴；在规定时间内团队2人以上共同完成展示陈述任务。</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（2）团队衣着整洁，在汇报过程中表情自然大方，注意基本的礼仪，能够尊重评委，文明用语。</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（3）在文案作品及学生汇报过程中不得出现任何学校名称、选手姓名等可暴露参赛选手身份的相关信息。</w:t>
      </w:r>
    </w:p>
    <w:p>
      <w:pPr>
        <w:spacing w:line="560" w:lineRule="exact"/>
        <w:ind w:firstLine="560" w:firstLineChars="200"/>
        <w:jc w:val="left"/>
        <w:outlineLvl w:val="1"/>
        <w:rPr>
          <w:rFonts w:ascii="仿宋_GB2312" w:eastAsia="仿宋_GB2312"/>
          <w:sz w:val="28"/>
          <w:szCs w:val="28"/>
        </w:rPr>
      </w:pPr>
      <w:r>
        <w:rPr>
          <w:rFonts w:hint="eastAsia" w:ascii="仿宋_GB2312" w:eastAsia="仿宋_GB2312"/>
          <w:sz w:val="28"/>
          <w:szCs w:val="28"/>
        </w:rPr>
        <w:t>（二）商务数据分析（</w:t>
      </w:r>
      <w:r>
        <w:rPr>
          <w:rFonts w:ascii="仿宋_GB2312" w:eastAsia="仿宋_GB2312"/>
          <w:sz w:val="28"/>
          <w:szCs w:val="28"/>
        </w:rPr>
        <w:t>15</w:t>
      </w:r>
      <w:r>
        <w:rPr>
          <w:rFonts w:hint="eastAsia" w:ascii="仿宋_GB2312" w:eastAsia="仿宋_GB2312"/>
          <w:sz w:val="28"/>
          <w:szCs w:val="28"/>
        </w:rPr>
        <w:t>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商务数据分析模块选择3e习商网等后台用户数据库完全开放的销售实战平台作为竞赛数据来源，允许使用Excel、Word、PowerPoint软件进行辅助操作。</w:t>
      </w:r>
      <w:r>
        <w:rPr>
          <w:rFonts w:hint="eastAsia" w:ascii="仿宋_GB2312" w:eastAsia="仿宋_GB2312"/>
          <w:color w:val="000000" w:themeColor="text1"/>
          <w:sz w:val="28"/>
          <w:szCs w:val="28"/>
          <w14:textFill>
            <w14:solidFill>
              <w14:schemeClr w14:val="tx1"/>
            </w14:solidFill>
          </w14:textFill>
        </w:rPr>
        <w:t>赛题库及其答案于赛前1个月发布，并且允许参赛学生无限次练习使用。</w:t>
      </w:r>
      <w:r>
        <w:rPr>
          <w:rFonts w:hint="eastAsia" w:ascii="仿宋_GB2312" w:eastAsia="仿宋_GB2312"/>
          <w:sz w:val="28"/>
          <w:szCs w:val="28"/>
        </w:rPr>
        <w:t>比赛前选取不同产品和不同时间段数据形成包括10套赛卷的赛卷库，竞赛当日裁判抽取一套赛卷装入系统作为正式赛卷，另外抽取一套赛卷作为备用赛卷。承诺于开赛1个月前在大赛网络信息发布平台上（</w:t>
      </w:r>
      <w:r>
        <w:rPr>
          <w:rFonts w:ascii="仿宋_GB2312" w:eastAsia="仿宋_GB2312"/>
          <w:sz w:val="28"/>
          <w:szCs w:val="28"/>
        </w:rPr>
        <w:t>http://www.fjzyjy.com</w:t>
      </w:r>
      <w:r>
        <w:rPr>
          <w:rFonts w:hint="eastAsia" w:ascii="仿宋_GB2312" w:eastAsia="仿宋_GB2312"/>
          <w:sz w:val="28"/>
          <w:szCs w:val="28"/>
        </w:rPr>
        <w:t>)公开赛题库。样卷如下。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山东商业职业技术学院、浙江商业职业技术学院、黑龙江职业学院及江苏财经职业技术学院四所院校的数字商业体验中心准备对方便面商品进行一次促销活动，为获取高职院校方便面商品的校园销售情况，特在以上四所院校进行了校园销售测试。请登录竞赛系统，根据统计数据进行数据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1．题目：请快速查询201</w:t>
      </w:r>
      <w:r>
        <w:rPr>
          <w:rFonts w:ascii="仿宋_GB2312" w:eastAsia="仿宋_GB2312"/>
          <w:sz w:val="28"/>
          <w:szCs w:val="28"/>
        </w:rPr>
        <w:t>8</w:t>
      </w:r>
      <w:r>
        <w:rPr>
          <w:rFonts w:hint="eastAsia" w:ascii="仿宋_GB2312" w:eastAsia="仿宋_GB2312"/>
          <w:sz w:val="28"/>
          <w:szCs w:val="28"/>
        </w:rPr>
        <w:t>年3月9日至3月11日四所院校的数字商业体验中心所售下列方便面各品牌的总销售量。（每空</w:t>
      </w:r>
      <w:r>
        <w:rPr>
          <w:rFonts w:ascii="仿宋_GB2312" w:eastAsia="仿宋_GB2312"/>
          <w:sz w:val="28"/>
          <w:szCs w:val="28"/>
        </w:rPr>
        <w:t>0.5</w:t>
      </w:r>
      <w:r>
        <w:rPr>
          <w:rFonts w:hint="eastAsia" w:ascii="仿宋_GB2312" w:eastAsia="仿宋_GB2312"/>
          <w:sz w:val="28"/>
          <w:szCs w:val="28"/>
        </w:rPr>
        <w:t>分，共</w:t>
      </w:r>
      <w:r>
        <w:rPr>
          <w:rFonts w:ascii="仿宋_GB2312" w:eastAsia="仿宋_GB2312"/>
          <w:sz w:val="28"/>
          <w:szCs w:val="28"/>
        </w:rPr>
        <w:t>2</w:t>
      </w:r>
      <w:r>
        <w:rPr>
          <w:rFonts w:hint="eastAsia" w:ascii="仿宋_GB2312" w:eastAsia="仿宋_GB2312"/>
          <w:sz w:val="28"/>
          <w:szCs w:val="28"/>
        </w:rPr>
        <w:t>分）</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表1 四所院校方便面品牌2018年3月9日至3月11日总销量表</w:t>
      </w:r>
    </w:p>
    <w:tbl>
      <w:tblPr>
        <w:tblStyle w:val="1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品牌</w:t>
            </w:r>
          </w:p>
        </w:tc>
        <w:tc>
          <w:tcPr>
            <w:tcW w:w="4148"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销量（件）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康师傅</w:t>
            </w:r>
          </w:p>
        </w:tc>
        <w:tc>
          <w:tcPr>
            <w:tcW w:w="4148"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统一</w:t>
            </w:r>
          </w:p>
        </w:tc>
        <w:tc>
          <w:tcPr>
            <w:tcW w:w="4148"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今麦郎</w:t>
            </w:r>
          </w:p>
        </w:tc>
        <w:tc>
          <w:tcPr>
            <w:tcW w:w="4148"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合计</w:t>
            </w:r>
          </w:p>
        </w:tc>
        <w:tc>
          <w:tcPr>
            <w:tcW w:w="4148"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（填空）</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2．题目：请查询黑龙江职业学院的数字商业体验中心所售方便面201</w:t>
      </w:r>
      <w:r>
        <w:rPr>
          <w:rFonts w:ascii="仿宋_GB2312" w:eastAsia="仿宋_GB2312"/>
          <w:sz w:val="28"/>
          <w:szCs w:val="28"/>
        </w:rPr>
        <w:t>8</w:t>
      </w:r>
      <w:r>
        <w:rPr>
          <w:rFonts w:hint="eastAsia" w:ascii="仿宋_GB2312" w:eastAsia="仿宋_GB2312"/>
          <w:sz w:val="28"/>
          <w:szCs w:val="28"/>
        </w:rPr>
        <w:t>年3月9日至3月11日总销金额前3位的单品（单品是指商品分类中不能进一步细分的、完整独立的商品。例如：200毫升装飘柔滋润去屑洗发水），按次序排列，并填充下表。（每空</w:t>
      </w:r>
      <w:r>
        <w:rPr>
          <w:rFonts w:ascii="仿宋_GB2312" w:eastAsia="仿宋_GB2312"/>
          <w:sz w:val="28"/>
          <w:szCs w:val="28"/>
        </w:rPr>
        <w:t>0.5</w:t>
      </w:r>
      <w:r>
        <w:rPr>
          <w:rFonts w:hint="eastAsia" w:ascii="仿宋_GB2312" w:eastAsia="仿宋_GB2312"/>
          <w:sz w:val="28"/>
          <w:szCs w:val="28"/>
        </w:rPr>
        <w:t>分，共</w:t>
      </w:r>
      <w:r>
        <w:rPr>
          <w:rFonts w:ascii="仿宋_GB2312" w:eastAsia="仿宋_GB2312"/>
          <w:sz w:val="28"/>
          <w:szCs w:val="28"/>
        </w:rPr>
        <w:t>3</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2 </w:t>
      </w:r>
      <w:r>
        <w:rPr>
          <w:rFonts w:hint="eastAsia" w:ascii="仿宋_GB2312" w:eastAsia="仿宋_GB2312"/>
          <w:sz w:val="24"/>
          <w:szCs w:val="24"/>
        </w:rPr>
        <w:t>黑龙江职业学院方便面单品201</w:t>
      </w:r>
      <w:r>
        <w:rPr>
          <w:rFonts w:ascii="仿宋_GB2312" w:eastAsia="仿宋_GB2312"/>
          <w:sz w:val="24"/>
          <w:szCs w:val="24"/>
        </w:rPr>
        <w:t>8</w:t>
      </w:r>
      <w:r>
        <w:rPr>
          <w:rFonts w:hint="eastAsia" w:ascii="仿宋_GB2312" w:eastAsia="仿宋_GB2312"/>
          <w:sz w:val="24"/>
          <w:szCs w:val="24"/>
        </w:rPr>
        <w:t>年3月9日至3月11日销售额统计表</w:t>
      </w:r>
    </w:p>
    <w:tbl>
      <w:tblPr>
        <w:tblStyle w:val="1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83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b/>
                <w:sz w:val="24"/>
                <w:szCs w:val="24"/>
              </w:rPr>
            </w:pPr>
          </w:p>
        </w:tc>
        <w:tc>
          <w:tcPr>
            <w:tcW w:w="3834" w:type="dxa"/>
            <w:vAlign w:val="center"/>
          </w:tcPr>
          <w:p>
            <w:pPr>
              <w:jc w:val="center"/>
              <w:rPr>
                <w:rFonts w:ascii="仿宋_GB2312" w:eastAsia="仿宋_GB2312"/>
                <w:b/>
                <w:sz w:val="24"/>
                <w:szCs w:val="24"/>
              </w:rPr>
            </w:pPr>
            <w:r>
              <w:rPr>
                <w:rFonts w:hint="eastAsia" w:ascii="仿宋_GB2312" w:eastAsia="仿宋_GB2312"/>
                <w:b/>
                <w:sz w:val="24"/>
                <w:szCs w:val="24"/>
              </w:rPr>
              <w:t>商品名称</w:t>
            </w:r>
          </w:p>
        </w:tc>
        <w:tc>
          <w:tcPr>
            <w:tcW w:w="2766" w:type="dxa"/>
            <w:vAlign w:val="center"/>
          </w:tcPr>
          <w:p>
            <w:pPr>
              <w:jc w:val="center"/>
              <w:rPr>
                <w:rFonts w:ascii="仿宋_GB2312" w:eastAsia="仿宋_GB2312"/>
                <w:b/>
                <w:sz w:val="24"/>
                <w:szCs w:val="24"/>
              </w:rPr>
            </w:pPr>
            <w:r>
              <w:rPr>
                <w:rFonts w:hint="eastAsia" w:ascii="仿宋_GB2312" w:eastAsia="仿宋_GB2312"/>
                <w:b/>
                <w:sz w:val="24"/>
                <w:szCs w:val="24"/>
              </w:rPr>
              <w:t>合计销量额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sz w:val="24"/>
                <w:szCs w:val="24"/>
              </w:rPr>
            </w:pPr>
            <w:r>
              <w:rPr>
                <w:rFonts w:hint="eastAsia" w:ascii="仿宋_GB2312" w:eastAsia="仿宋_GB2312"/>
                <w:sz w:val="24"/>
                <w:szCs w:val="24"/>
              </w:rPr>
              <w:t>第一位</w:t>
            </w:r>
          </w:p>
        </w:tc>
        <w:tc>
          <w:tcPr>
            <w:tcW w:w="3834" w:type="dxa"/>
            <w:vAlign w:val="center"/>
          </w:tcPr>
          <w:p>
            <w:pPr>
              <w:jc w:val="center"/>
              <w:rPr>
                <w:rFonts w:ascii="仿宋_GB2312" w:eastAsia="仿宋_GB2312"/>
                <w:sz w:val="24"/>
                <w:szCs w:val="24"/>
              </w:rPr>
            </w:pPr>
            <w:r>
              <w:rPr>
                <w:rFonts w:hint="eastAsia" w:ascii="仿宋_GB2312" w:eastAsia="仿宋_GB2312"/>
                <w:sz w:val="24"/>
                <w:szCs w:val="24"/>
              </w:rPr>
              <w:t>（填空）</w:t>
            </w:r>
          </w:p>
        </w:tc>
        <w:tc>
          <w:tcPr>
            <w:tcW w:w="2766" w:type="dxa"/>
            <w:vAlign w:val="center"/>
          </w:tcPr>
          <w:p>
            <w:pPr>
              <w:jc w:val="center"/>
              <w:rPr>
                <w:rFonts w:ascii="仿宋_GB2312" w:eastAsia="仿宋_GB2312"/>
                <w:sz w:val="24"/>
                <w:szCs w:val="24"/>
              </w:rP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sz w:val="24"/>
                <w:szCs w:val="24"/>
              </w:rPr>
            </w:pPr>
            <w:r>
              <w:rPr>
                <w:rFonts w:hint="eastAsia" w:ascii="仿宋_GB2312" w:eastAsia="仿宋_GB2312"/>
                <w:sz w:val="24"/>
                <w:szCs w:val="24"/>
              </w:rPr>
              <w:t>第二位</w:t>
            </w:r>
          </w:p>
        </w:tc>
        <w:tc>
          <w:tcPr>
            <w:tcW w:w="3834" w:type="dxa"/>
            <w:vAlign w:val="center"/>
          </w:tcPr>
          <w:p>
            <w:pPr>
              <w:jc w:val="center"/>
              <w:rPr>
                <w:rFonts w:ascii="仿宋_GB2312" w:eastAsia="仿宋_GB2312"/>
                <w:sz w:val="24"/>
                <w:szCs w:val="24"/>
              </w:rPr>
            </w:pPr>
            <w:r>
              <w:rPr>
                <w:rFonts w:hint="eastAsia" w:ascii="仿宋_GB2312" w:eastAsia="仿宋_GB2312"/>
                <w:sz w:val="24"/>
                <w:szCs w:val="24"/>
              </w:rPr>
              <w:t>（填空）</w:t>
            </w:r>
          </w:p>
        </w:tc>
        <w:tc>
          <w:tcPr>
            <w:tcW w:w="2766" w:type="dxa"/>
            <w:vAlign w:val="center"/>
          </w:tcPr>
          <w:p>
            <w:pPr>
              <w:jc w:val="center"/>
              <w:rPr>
                <w:rFonts w:ascii="仿宋_GB2312" w:eastAsia="仿宋_GB2312"/>
                <w:sz w:val="24"/>
                <w:szCs w:val="24"/>
              </w:rP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sz w:val="24"/>
                <w:szCs w:val="24"/>
              </w:rPr>
            </w:pPr>
            <w:r>
              <w:rPr>
                <w:rFonts w:hint="eastAsia" w:ascii="仿宋_GB2312" w:eastAsia="仿宋_GB2312"/>
                <w:sz w:val="24"/>
                <w:szCs w:val="24"/>
              </w:rPr>
              <w:t>第三位</w:t>
            </w:r>
          </w:p>
        </w:tc>
        <w:tc>
          <w:tcPr>
            <w:tcW w:w="3834" w:type="dxa"/>
            <w:vAlign w:val="center"/>
          </w:tcPr>
          <w:p>
            <w:pPr>
              <w:jc w:val="center"/>
              <w:rPr>
                <w:rFonts w:ascii="仿宋_GB2312" w:eastAsia="仿宋_GB2312"/>
                <w:sz w:val="24"/>
                <w:szCs w:val="24"/>
              </w:rPr>
            </w:pPr>
            <w:r>
              <w:rPr>
                <w:rFonts w:hint="eastAsia" w:ascii="仿宋_GB2312" w:eastAsia="仿宋_GB2312"/>
                <w:sz w:val="24"/>
                <w:szCs w:val="24"/>
              </w:rPr>
              <w:t>（填空）</w:t>
            </w:r>
          </w:p>
        </w:tc>
        <w:tc>
          <w:tcPr>
            <w:tcW w:w="2766" w:type="dxa"/>
            <w:vAlign w:val="center"/>
          </w:tcPr>
          <w:p>
            <w:pPr>
              <w:jc w:val="center"/>
              <w:rPr>
                <w:rFonts w:ascii="仿宋_GB2312" w:eastAsia="仿宋_GB2312"/>
                <w:sz w:val="24"/>
                <w:szCs w:val="24"/>
              </w:rPr>
            </w:pPr>
            <w:r>
              <w:rPr>
                <w:rFonts w:hint="eastAsia" w:ascii="仿宋_GB2312" w:eastAsia="仿宋_GB2312"/>
                <w:sz w:val="24"/>
                <w:szCs w:val="24"/>
              </w:rPr>
              <w:t>（填空）</w:t>
            </w:r>
          </w:p>
        </w:tc>
      </w:tr>
    </w:tbl>
    <w:p>
      <w:pPr>
        <w:ind w:firstLine="565" w:firstLineChars="202"/>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．题目：请查询四所院校所售下列方便面各品牌201</w:t>
      </w:r>
      <w:r>
        <w:rPr>
          <w:rFonts w:ascii="仿宋_GB2312" w:eastAsia="仿宋_GB2312"/>
          <w:sz w:val="28"/>
          <w:szCs w:val="28"/>
        </w:rPr>
        <w:t>8</w:t>
      </w:r>
      <w:r>
        <w:rPr>
          <w:rFonts w:hint="eastAsia" w:ascii="仿宋_GB2312" w:eastAsia="仿宋_GB2312"/>
          <w:sz w:val="28"/>
          <w:szCs w:val="28"/>
        </w:rPr>
        <w:t>年3月9日至3月11日的合计销售金额；查询山东商业职业技术学院及浙江商业职业技术学院所售下列方便面品牌201</w:t>
      </w:r>
      <w:r>
        <w:rPr>
          <w:rFonts w:ascii="仿宋_GB2312" w:eastAsia="仿宋_GB2312"/>
          <w:sz w:val="28"/>
          <w:szCs w:val="28"/>
        </w:rPr>
        <w:t>8</w:t>
      </w:r>
      <w:r>
        <w:rPr>
          <w:rFonts w:hint="eastAsia" w:ascii="仿宋_GB2312" w:eastAsia="仿宋_GB2312"/>
          <w:sz w:val="28"/>
          <w:szCs w:val="28"/>
        </w:rPr>
        <w:t>年3月9日至3月11日的销售金额及其占四所院校合计销售金额的百分比（保留两位小数，四舍五入），并填充下表。（每空</w:t>
      </w:r>
      <w:r>
        <w:rPr>
          <w:rFonts w:ascii="仿宋_GB2312" w:eastAsia="仿宋_GB2312"/>
          <w:sz w:val="28"/>
          <w:szCs w:val="28"/>
        </w:rPr>
        <w:t>0.5</w:t>
      </w:r>
      <w:r>
        <w:rPr>
          <w:rFonts w:hint="eastAsia" w:ascii="仿宋_GB2312" w:eastAsia="仿宋_GB2312"/>
          <w:sz w:val="28"/>
          <w:szCs w:val="28"/>
        </w:rPr>
        <w:t>分，共</w:t>
      </w:r>
      <w:r>
        <w:rPr>
          <w:rFonts w:ascii="仿宋_GB2312" w:eastAsia="仿宋_GB2312"/>
          <w:sz w:val="28"/>
          <w:szCs w:val="28"/>
        </w:rPr>
        <w:t>5</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3 </w:t>
      </w:r>
      <w:r>
        <w:rPr>
          <w:rFonts w:hint="eastAsia" w:ascii="仿宋_GB2312" w:eastAsia="仿宋_GB2312"/>
          <w:sz w:val="24"/>
          <w:szCs w:val="24"/>
        </w:rPr>
        <w:t>方便面品牌201</w:t>
      </w:r>
      <w:r>
        <w:rPr>
          <w:rFonts w:ascii="仿宋_GB2312" w:eastAsia="仿宋_GB2312"/>
          <w:sz w:val="24"/>
          <w:szCs w:val="24"/>
        </w:rPr>
        <w:t>8</w:t>
      </w:r>
      <w:r>
        <w:rPr>
          <w:rFonts w:hint="eastAsia" w:ascii="仿宋_GB2312" w:eastAsia="仿宋_GB2312"/>
          <w:sz w:val="24"/>
          <w:szCs w:val="24"/>
        </w:rPr>
        <w:t>年3月9日至3月11日销售对比表</w:t>
      </w:r>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1699"/>
        <w:gridCol w:w="188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30" w:type="dxa"/>
            <w:gridSpan w:val="2"/>
            <w:vAlign w:val="center"/>
          </w:tcPr>
          <w:p>
            <w:pPr>
              <w:jc w:val="center"/>
              <w:rPr>
                <w:rFonts w:ascii="仿宋_GB2312" w:eastAsia="仿宋_GB2312"/>
                <w:b/>
                <w:sz w:val="24"/>
                <w:szCs w:val="24"/>
              </w:rPr>
            </w:pPr>
            <w:r>
              <w:rPr>
                <w:rFonts w:hint="eastAsia" w:ascii="仿宋_GB2312" w:eastAsia="仿宋_GB2312"/>
                <w:b/>
                <w:sz w:val="24"/>
                <w:szCs w:val="24"/>
              </w:rPr>
              <w:t>品牌</w:t>
            </w:r>
          </w:p>
        </w:tc>
        <w:tc>
          <w:tcPr>
            <w:tcW w:w="1883" w:type="dxa"/>
            <w:vAlign w:val="center"/>
          </w:tcPr>
          <w:p>
            <w:pPr>
              <w:jc w:val="center"/>
              <w:rPr>
                <w:rFonts w:ascii="仿宋_GB2312" w:eastAsia="仿宋_GB2312"/>
                <w:b/>
                <w:sz w:val="24"/>
                <w:szCs w:val="24"/>
              </w:rPr>
            </w:pPr>
            <w:r>
              <w:rPr>
                <w:rFonts w:ascii="Times New Roman" w:hAnsi="Times New Roman" w:eastAsia="仿宋_GB2312"/>
                <w:b/>
                <w:sz w:val="24"/>
                <w:szCs w:val="24"/>
              </w:rPr>
              <w:t>康师傅</w:t>
            </w:r>
          </w:p>
        </w:tc>
        <w:tc>
          <w:tcPr>
            <w:tcW w:w="1883" w:type="dxa"/>
            <w:vAlign w:val="center"/>
          </w:tcPr>
          <w:p>
            <w:pPr>
              <w:jc w:val="center"/>
              <w:rPr>
                <w:rFonts w:ascii="仿宋_GB2312" w:eastAsia="仿宋_GB2312"/>
                <w:b/>
                <w:sz w:val="24"/>
                <w:szCs w:val="24"/>
              </w:rPr>
            </w:pPr>
            <w:r>
              <w:rPr>
                <w:rFonts w:ascii="Times New Roman" w:hAnsi="Times New Roman" w:eastAsia="仿宋_GB2312"/>
                <w:b/>
                <w:sz w:val="24"/>
                <w:szCs w:val="24"/>
              </w:rPr>
              <w:t>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1" w:type="dxa"/>
            <w:vAlign w:val="center"/>
          </w:tcPr>
          <w:p>
            <w:pPr>
              <w:jc w:val="center"/>
              <w:rPr>
                <w:rFonts w:ascii="仿宋_GB2312" w:eastAsia="仿宋_GB2312"/>
                <w:sz w:val="24"/>
                <w:szCs w:val="24"/>
              </w:rPr>
            </w:pPr>
            <w:r>
              <w:rPr>
                <w:rFonts w:hint="eastAsia" w:ascii="仿宋_GB2312" w:eastAsia="仿宋_GB2312"/>
                <w:sz w:val="24"/>
                <w:szCs w:val="24"/>
              </w:rPr>
              <w:t>四所院校</w:t>
            </w: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合计销售额</w:t>
            </w:r>
          </w:p>
        </w:tc>
        <w:tc>
          <w:tcPr>
            <w:tcW w:w="1883" w:type="dxa"/>
            <w:vAlign w:val="center"/>
          </w:tcPr>
          <w:p>
            <w:pPr>
              <w:jc w:val="center"/>
            </w:pPr>
            <w:r>
              <w:rPr>
                <w:rFonts w:hint="eastAsia" w:ascii="仿宋_GB2312" w:eastAsia="仿宋_GB2312"/>
                <w:sz w:val="24"/>
                <w:szCs w:val="24"/>
              </w:rPr>
              <w:t>（填空）</w:t>
            </w:r>
          </w:p>
        </w:tc>
        <w:tc>
          <w:tcPr>
            <w:tcW w:w="1883" w:type="dxa"/>
            <w:vAlign w:val="center"/>
          </w:tcPr>
          <w:p>
            <w:pPr>
              <w:jc w:val="cente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1" w:type="dxa"/>
            <w:vMerge w:val="restart"/>
            <w:vAlign w:val="center"/>
          </w:tcPr>
          <w:p>
            <w:pPr>
              <w:jc w:val="center"/>
              <w:rPr>
                <w:rFonts w:ascii="仿宋_GB2312" w:eastAsia="仿宋_GB2312"/>
                <w:sz w:val="24"/>
                <w:szCs w:val="24"/>
              </w:rPr>
            </w:pPr>
            <w:r>
              <w:rPr>
                <w:rFonts w:hint="eastAsia" w:ascii="仿宋_GB2312" w:eastAsia="仿宋_GB2312"/>
                <w:sz w:val="24"/>
                <w:szCs w:val="24"/>
              </w:rPr>
              <w:t>山东商业职业技术学院</w:t>
            </w: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销售额</w:t>
            </w:r>
          </w:p>
        </w:tc>
        <w:tc>
          <w:tcPr>
            <w:tcW w:w="1883" w:type="dxa"/>
            <w:vAlign w:val="center"/>
          </w:tcPr>
          <w:p>
            <w:pPr>
              <w:jc w:val="center"/>
            </w:pPr>
            <w:r>
              <w:rPr>
                <w:rFonts w:hint="eastAsia" w:ascii="仿宋_GB2312" w:eastAsia="仿宋_GB2312"/>
                <w:sz w:val="24"/>
                <w:szCs w:val="24"/>
              </w:rPr>
              <w:t>（填空）</w:t>
            </w:r>
          </w:p>
        </w:tc>
        <w:tc>
          <w:tcPr>
            <w:tcW w:w="1883" w:type="dxa"/>
            <w:vAlign w:val="center"/>
          </w:tcPr>
          <w:p>
            <w:pPr>
              <w:jc w:val="cente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1" w:type="dxa"/>
            <w:vMerge w:val="continue"/>
            <w:vAlign w:val="center"/>
          </w:tcPr>
          <w:p>
            <w:pPr>
              <w:jc w:val="center"/>
              <w:rPr>
                <w:rFonts w:ascii="仿宋_GB2312" w:eastAsia="仿宋_GB2312"/>
                <w:sz w:val="24"/>
                <w:szCs w:val="24"/>
              </w:rPr>
            </w:pP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百分比</w:t>
            </w:r>
          </w:p>
        </w:tc>
        <w:tc>
          <w:tcPr>
            <w:tcW w:w="1883" w:type="dxa"/>
            <w:vAlign w:val="center"/>
          </w:tcPr>
          <w:p>
            <w:pPr>
              <w:jc w:val="center"/>
            </w:pPr>
            <w:r>
              <w:rPr>
                <w:rFonts w:hint="eastAsia" w:ascii="仿宋_GB2312" w:eastAsia="仿宋_GB2312"/>
                <w:sz w:val="24"/>
                <w:szCs w:val="24"/>
              </w:rPr>
              <w:t>（填空）</w:t>
            </w:r>
          </w:p>
        </w:tc>
        <w:tc>
          <w:tcPr>
            <w:tcW w:w="1883" w:type="dxa"/>
            <w:vAlign w:val="center"/>
          </w:tcPr>
          <w:p>
            <w:pPr>
              <w:jc w:val="cente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1" w:type="dxa"/>
            <w:vMerge w:val="restart"/>
            <w:vAlign w:val="center"/>
          </w:tcPr>
          <w:p>
            <w:pPr>
              <w:jc w:val="center"/>
              <w:rPr>
                <w:rFonts w:ascii="仿宋_GB2312" w:eastAsia="仿宋_GB2312"/>
                <w:sz w:val="24"/>
                <w:szCs w:val="24"/>
              </w:rPr>
            </w:pPr>
            <w:bookmarkStart w:id="1" w:name="_Hlk508901890"/>
            <w:r>
              <w:rPr>
                <w:rFonts w:hint="eastAsia" w:ascii="仿宋_GB2312" w:eastAsia="仿宋_GB2312"/>
                <w:sz w:val="24"/>
                <w:szCs w:val="24"/>
              </w:rPr>
              <w:t>浙江商业职业技术学院</w:t>
            </w:r>
            <w:bookmarkEnd w:id="1"/>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销售额</w:t>
            </w:r>
          </w:p>
        </w:tc>
        <w:tc>
          <w:tcPr>
            <w:tcW w:w="1883" w:type="dxa"/>
            <w:vAlign w:val="center"/>
          </w:tcPr>
          <w:p>
            <w:pPr>
              <w:jc w:val="center"/>
            </w:pPr>
            <w:r>
              <w:rPr>
                <w:rFonts w:hint="eastAsia" w:ascii="仿宋_GB2312" w:eastAsia="仿宋_GB2312"/>
                <w:sz w:val="24"/>
                <w:szCs w:val="24"/>
              </w:rPr>
              <w:t>（填空）</w:t>
            </w:r>
          </w:p>
        </w:tc>
        <w:tc>
          <w:tcPr>
            <w:tcW w:w="1883" w:type="dxa"/>
            <w:vAlign w:val="center"/>
          </w:tcPr>
          <w:p>
            <w:pPr>
              <w:jc w:val="cente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31" w:type="dxa"/>
            <w:vMerge w:val="continue"/>
            <w:vAlign w:val="center"/>
          </w:tcPr>
          <w:p>
            <w:pPr>
              <w:jc w:val="center"/>
              <w:rPr>
                <w:rFonts w:ascii="仿宋_GB2312" w:eastAsia="仿宋_GB2312"/>
                <w:sz w:val="24"/>
                <w:szCs w:val="24"/>
              </w:rPr>
            </w:pP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百分比</w:t>
            </w:r>
          </w:p>
        </w:tc>
        <w:tc>
          <w:tcPr>
            <w:tcW w:w="1883" w:type="dxa"/>
            <w:vAlign w:val="center"/>
          </w:tcPr>
          <w:p>
            <w:pPr>
              <w:jc w:val="center"/>
            </w:pPr>
            <w:r>
              <w:rPr>
                <w:rFonts w:hint="eastAsia" w:ascii="仿宋_GB2312" w:eastAsia="仿宋_GB2312"/>
                <w:sz w:val="24"/>
                <w:szCs w:val="24"/>
              </w:rPr>
              <w:t>（填空）</w:t>
            </w:r>
          </w:p>
        </w:tc>
        <w:tc>
          <w:tcPr>
            <w:tcW w:w="1883" w:type="dxa"/>
            <w:vAlign w:val="center"/>
          </w:tcPr>
          <w:p>
            <w:pPr>
              <w:jc w:val="center"/>
            </w:pPr>
            <w:r>
              <w:rPr>
                <w:rFonts w:hint="eastAsia" w:ascii="仿宋_GB2312" w:eastAsia="仿宋_GB2312"/>
                <w:sz w:val="24"/>
                <w:szCs w:val="24"/>
              </w:rPr>
              <w:t>（填空）</w:t>
            </w:r>
          </w:p>
        </w:tc>
      </w:tr>
    </w:tbl>
    <w:p>
      <w:pPr>
        <w:ind w:firstLine="565" w:firstLineChars="202"/>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．题目类型1：请做出黑龙江职业学院201</w:t>
      </w:r>
      <w:r>
        <w:rPr>
          <w:rFonts w:ascii="仿宋_GB2312" w:eastAsia="仿宋_GB2312"/>
          <w:sz w:val="28"/>
          <w:szCs w:val="28"/>
        </w:rPr>
        <w:t>8</w:t>
      </w:r>
      <w:r>
        <w:rPr>
          <w:rFonts w:hint="eastAsia" w:ascii="仿宋_GB2312" w:eastAsia="仿宋_GB2312"/>
          <w:sz w:val="28"/>
          <w:szCs w:val="28"/>
        </w:rPr>
        <w:t>年3月9日至3月11日期间总销量前三位方便面单品的分析图表，图表要求是带数据标记的二维折线图。（3分）</w:t>
      </w:r>
    </w:p>
    <w:p>
      <w:pPr>
        <w:ind w:firstLine="565" w:firstLineChars="202"/>
        <w:rPr>
          <w:rFonts w:ascii="仿宋_GB2312" w:eastAsia="仿宋_GB2312"/>
          <w:sz w:val="28"/>
          <w:szCs w:val="28"/>
        </w:rPr>
      </w:pPr>
      <w:r>
        <w:rPr>
          <w:rFonts w:hint="eastAsia" w:ascii="仿宋_GB2312" w:eastAsia="仿宋_GB2312"/>
          <w:sz w:val="28"/>
          <w:szCs w:val="28"/>
        </w:rPr>
        <w:t>图表要求：</w:t>
      </w:r>
    </w:p>
    <w:p>
      <w:pPr>
        <w:ind w:firstLine="565" w:firstLineChars="202"/>
        <w:rPr>
          <w:rFonts w:ascii="仿宋_GB2312" w:eastAsia="仿宋_GB2312"/>
          <w:sz w:val="28"/>
          <w:szCs w:val="28"/>
        </w:rPr>
      </w:pPr>
      <w:r>
        <w:rPr>
          <w:rFonts w:hint="eastAsia" w:ascii="仿宋_GB2312" w:eastAsia="仿宋_GB2312"/>
          <w:sz w:val="28"/>
          <w:szCs w:val="28"/>
        </w:rPr>
        <w:t>①图表标题为“黑龙江职业学院方便面销量前三位走势图（201</w:t>
      </w:r>
      <w:r>
        <w:rPr>
          <w:rFonts w:ascii="仿宋_GB2312" w:eastAsia="仿宋_GB2312"/>
          <w:sz w:val="28"/>
          <w:szCs w:val="28"/>
        </w:rPr>
        <w:t>8</w:t>
      </w:r>
      <w:r>
        <w:rPr>
          <w:rFonts w:hint="eastAsia" w:ascii="仿宋_GB2312" w:eastAsia="仿宋_GB2312"/>
          <w:sz w:val="28"/>
          <w:szCs w:val="28"/>
        </w:rPr>
        <w:t>0309-201</w:t>
      </w:r>
      <w:r>
        <w:rPr>
          <w:rFonts w:ascii="仿宋_GB2312" w:eastAsia="仿宋_GB2312"/>
          <w:sz w:val="28"/>
          <w:szCs w:val="28"/>
        </w:rPr>
        <w:t>8</w:t>
      </w:r>
      <w:r>
        <w:rPr>
          <w:rFonts w:hint="eastAsia" w:ascii="仿宋_GB2312" w:eastAsia="仿宋_GB2312"/>
          <w:sz w:val="28"/>
          <w:szCs w:val="28"/>
        </w:rPr>
        <w:t>0311）”。</w:t>
      </w:r>
    </w:p>
    <w:p>
      <w:pPr>
        <w:ind w:firstLine="565" w:firstLineChars="202"/>
        <w:rPr>
          <w:rFonts w:ascii="仿宋_GB2312" w:eastAsia="仿宋_GB2312"/>
          <w:sz w:val="28"/>
          <w:szCs w:val="28"/>
        </w:rPr>
      </w:pPr>
      <w:r>
        <w:rPr>
          <w:rFonts w:hint="eastAsia" w:ascii="仿宋_GB2312" w:eastAsia="仿宋_GB2312"/>
          <w:sz w:val="28"/>
          <w:szCs w:val="28"/>
        </w:rPr>
        <w:t>②横坐标轴为日期（格式为XX月XX日）；横坐标标题为：日期；纵坐标标题为：销量。</w:t>
      </w:r>
    </w:p>
    <w:p>
      <w:pPr>
        <w:ind w:firstLine="565" w:firstLineChars="202"/>
        <w:rPr>
          <w:rFonts w:ascii="仿宋_GB2312" w:eastAsia="仿宋_GB2312"/>
          <w:sz w:val="28"/>
          <w:szCs w:val="28"/>
        </w:rPr>
      </w:pPr>
      <w:r>
        <w:rPr>
          <w:rFonts w:hint="eastAsia" w:ascii="仿宋_GB2312" w:eastAsia="仿宋_GB2312"/>
          <w:sz w:val="28"/>
          <w:szCs w:val="28"/>
        </w:rPr>
        <w:t>③有图例项，底部显示图例，表明所对比的单品的名称。</w:t>
      </w:r>
    </w:p>
    <w:p>
      <w:pPr>
        <w:ind w:firstLine="565" w:firstLineChars="202"/>
        <w:rPr>
          <w:rFonts w:ascii="仿宋_GB2312" w:eastAsia="仿宋_GB2312"/>
          <w:sz w:val="28"/>
          <w:szCs w:val="28"/>
        </w:rPr>
      </w:pPr>
      <w:r>
        <w:rPr>
          <w:rFonts w:hint="eastAsia" w:ascii="仿宋_GB2312" w:eastAsia="仿宋_GB2312"/>
          <w:sz w:val="28"/>
          <w:szCs w:val="28"/>
        </w:rPr>
        <w:t>④有数据标签，表明所对比的单品的日销售量。</w:t>
      </w:r>
    </w:p>
    <w:p>
      <w:pPr>
        <w:ind w:firstLine="565" w:firstLineChars="202"/>
        <w:rPr>
          <w:rFonts w:ascii="仿宋_GB2312" w:eastAsia="仿宋_GB2312"/>
          <w:sz w:val="28"/>
          <w:szCs w:val="28"/>
        </w:rPr>
      </w:pPr>
      <w:r>
        <w:rPr>
          <w:rFonts w:hint="eastAsia" w:ascii="仿宋_GB2312" w:eastAsia="仿宋_GB2312"/>
          <w:sz w:val="28"/>
          <w:szCs w:val="28"/>
        </w:rPr>
        <w:t>题目类型2：请做出黑龙江职业学院201</w:t>
      </w:r>
      <w:r>
        <w:rPr>
          <w:rFonts w:ascii="仿宋_GB2312" w:eastAsia="仿宋_GB2312"/>
          <w:sz w:val="28"/>
          <w:szCs w:val="28"/>
        </w:rPr>
        <w:t>8</w:t>
      </w:r>
      <w:r>
        <w:rPr>
          <w:rFonts w:hint="eastAsia" w:ascii="仿宋_GB2312" w:eastAsia="仿宋_GB2312"/>
          <w:sz w:val="28"/>
          <w:szCs w:val="28"/>
        </w:rPr>
        <w:t>年3月9日至3月11日期间总销量前三位方便面单品的分析图表，图表要求是百分比堆积柱形图。（3分）</w:t>
      </w:r>
    </w:p>
    <w:p>
      <w:pPr>
        <w:ind w:firstLine="565" w:firstLineChars="202"/>
        <w:rPr>
          <w:rFonts w:ascii="仿宋_GB2312" w:eastAsia="仿宋_GB2312"/>
          <w:sz w:val="28"/>
          <w:szCs w:val="28"/>
        </w:rPr>
      </w:pPr>
      <w:r>
        <w:rPr>
          <w:rFonts w:hint="eastAsia" w:ascii="仿宋_GB2312" w:eastAsia="仿宋_GB2312"/>
          <w:sz w:val="28"/>
          <w:szCs w:val="28"/>
        </w:rPr>
        <w:t>①图表标题为“黑龙江职业学院方便面销售总量前三位对比柱形图（201</w:t>
      </w:r>
      <w:r>
        <w:rPr>
          <w:rFonts w:ascii="仿宋_GB2312" w:eastAsia="仿宋_GB2312"/>
          <w:sz w:val="28"/>
          <w:szCs w:val="28"/>
        </w:rPr>
        <w:t>8</w:t>
      </w:r>
      <w:r>
        <w:rPr>
          <w:rFonts w:hint="eastAsia" w:ascii="仿宋_GB2312" w:eastAsia="仿宋_GB2312"/>
          <w:sz w:val="28"/>
          <w:szCs w:val="28"/>
        </w:rPr>
        <w:t>0309-201</w:t>
      </w:r>
      <w:r>
        <w:rPr>
          <w:rFonts w:ascii="仿宋_GB2312" w:eastAsia="仿宋_GB2312"/>
          <w:sz w:val="28"/>
          <w:szCs w:val="28"/>
        </w:rPr>
        <w:t>8</w:t>
      </w:r>
      <w:r>
        <w:rPr>
          <w:rFonts w:hint="eastAsia" w:ascii="仿宋_GB2312" w:eastAsia="仿宋_GB2312"/>
          <w:sz w:val="28"/>
          <w:szCs w:val="28"/>
        </w:rPr>
        <w:t>0311）”。</w:t>
      </w:r>
    </w:p>
    <w:p>
      <w:pPr>
        <w:ind w:firstLine="565" w:firstLineChars="202"/>
        <w:rPr>
          <w:rFonts w:ascii="仿宋_GB2312" w:eastAsia="仿宋_GB2312"/>
          <w:sz w:val="28"/>
          <w:szCs w:val="28"/>
        </w:rPr>
      </w:pPr>
      <w:r>
        <w:rPr>
          <w:rFonts w:hint="eastAsia" w:ascii="仿宋_GB2312" w:eastAsia="仿宋_GB2312"/>
          <w:sz w:val="28"/>
          <w:szCs w:val="28"/>
        </w:rPr>
        <w:t>②横坐标轴为日期（格式为XXXX年XX月XX日）；纵坐标轴为占比，格式为百分比，以10%为主要刻度单位，小数位数为0。</w:t>
      </w:r>
    </w:p>
    <w:p>
      <w:pPr>
        <w:ind w:firstLine="565" w:firstLineChars="202"/>
        <w:rPr>
          <w:rFonts w:ascii="仿宋_GB2312" w:eastAsia="仿宋_GB2312"/>
          <w:sz w:val="28"/>
          <w:szCs w:val="28"/>
        </w:rPr>
      </w:pPr>
      <w:r>
        <w:rPr>
          <w:rFonts w:hint="eastAsia" w:ascii="仿宋_GB2312" w:eastAsia="仿宋_GB2312"/>
          <w:sz w:val="28"/>
          <w:szCs w:val="28"/>
        </w:rPr>
        <w:t>③有图例项，底部显示图例，表明所对比的单品的名称。</w:t>
      </w:r>
    </w:p>
    <w:p>
      <w:pPr>
        <w:ind w:firstLine="565" w:firstLineChars="202"/>
        <w:rPr>
          <w:rFonts w:ascii="仿宋_GB2312" w:eastAsia="仿宋_GB2312"/>
          <w:sz w:val="28"/>
          <w:szCs w:val="28"/>
        </w:rPr>
      </w:pPr>
      <w:r>
        <w:rPr>
          <w:rFonts w:hint="eastAsia" w:ascii="仿宋_GB2312" w:eastAsia="仿宋_GB2312"/>
          <w:sz w:val="28"/>
          <w:szCs w:val="28"/>
        </w:rPr>
        <w:t>④有数据标签，数据标签位置居中，表明所对比的单品的日销量。</w:t>
      </w:r>
    </w:p>
    <w:p>
      <w:pPr>
        <w:ind w:firstLine="565" w:firstLineChars="202"/>
        <w:rPr>
          <w:rFonts w:ascii="仿宋_GB2312" w:eastAsia="仿宋_GB2312"/>
          <w:sz w:val="28"/>
          <w:szCs w:val="28"/>
        </w:rPr>
      </w:pPr>
      <w:r>
        <w:rPr>
          <w:rFonts w:hint="eastAsia" w:ascii="仿宋_GB2312" w:eastAsia="仿宋_GB2312"/>
          <w:sz w:val="28"/>
          <w:szCs w:val="28"/>
        </w:rPr>
        <w:t>题目类型3：请做出黑龙江职业学院康师傅方便面201</w:t>
      </w:r>
      <w:r>
        <w:rPr>
          <w:rFonts w:ascii="仿宋_GB2312" w:eastAsia="仿宋_GB2312"/>
          <w:sz w:val="28"/>
          <w:szCs w:val="28"/>
        </w:rPr>
        <w:t>8</w:t>
      </w:r>
      <w:r>
        <w:rPr>
          <w:rFonts w:hint="eastAsia" w:ascii="仿宋_GB2312" w:eastAsia="仿宋_GB2312"/>
          <w:sz w:val="28"/>
          <w:szCs w:val="28"/>
        </w:rPr>
        <w:t>年3月9日至3月11日与201</w:t>
      </w:r>
      <w:r>
        <w:rPr>
          <w:rFonts w:ascii="仿宋_GB2312" w:eastAsia="仿宋_GB2312"/>
          <w:sz w:val="28"/>
          <w:szCs w:val="28"/>
        </w:rPr>
        <w:t>7</w:t>
      </w:r>
      <w:r>
        <w:rPr>
          <w:rFonts w:hint="eastAsia" w:ascii="仿宋_GB2312" w:eastAsia="仿宋_GB2312"/>
          <w:sz w:val="28"/>
          <w:szCs w:val="28"/>
        </w:rPr>
        <w:t>年同期的日销量变化，做出销量变化分析图，要求用簇状柱形图表示差额；用带数据标记的折线图表示增长率。（3分）</w:t>
      </w:r>
    </w:p>
    <w:p>
      <w:pPr>
        <w:ind w:firstLine="565" w:firstLineChars="202"/>
        <w:rPr>
          <w:rFonts w:ascii="仿宋_GB2312" w:eastAsia="仿宋_GB2312"/>
          <w:sz w:val="28"/>
          <w:szCs w:val="28"/>
        </w:rPr>
      </w:pPr>
      <w:r>
        <w:rPr>
          <w:rFonts w:hint="eastAsia" w:ascii="仿宋_GB2312" w:eastAsia="仿宋_GB2312"/>
          <w:sz w:val="28"/>
          <w:szCs w:val="28"/>
        </w:rPr>
        <w:t>图表要求：</w:t>
      </w:r>
    </w:p>
    <w:p>
      <w:pPr>
        <w:ind w:firstLine="565" w:firstLineChars="202"/>
        <w:rPr>
          <w:rFonts w:ascii="仿宋_GB2312" w:eastAsia="仿宋_GB2312"/>
          <w:sz w:val="28"/>
          <w:szCs w:val="28"/>
        </w:rPr>
      </w:pPr>
      <w:r>
        <w:rPr>
          <w:rFonts w:hint="eastAsia" w:ascii="仿宋_GB2312" w:eastAsia="仿宋_GB2312"/>
          <w:sz w:val="28"/>
          <w:szCs w:val="28"/>
        </w:rPr>
        <w:t>①图表标题为“黑龙江职业学院康师傅方便面销量变化分析图（201</w:t>
      </w:r>
      <w:r>
        <w:rPr>
          <w:rFonts w:ascii="仿宋_GB2312" w:eastAsia="仿宋_GB2312"/>
          <w:sz w:val="28"/>
          <w:szCs w:val="28"/>
        </w:rPr>
        <w:t>8</w:t>
      </w:r>
      <w:r>
        <w:rPr>
          <w:rFonts w:hint="eastAsia" w:ascii="仿宋_GB2312" w:eastAsia="仿宋_GB2312"/>
          <w:sz w:val="28"/>
          <w:szCs w:val="28"/>
        </w:rPr>
        <w:t>0309-201</w:t>
      </w:r>
      <w:r>
        <w:rPr>
          <w:rFonts w:ascii="仿宋_GB2312" w:eastAsia="仿宋_GB2312"/>
          <w:sz w:val="28"/>
          <w:szCs w:val="28"/>
        </w:rPr>
        <w:t>8</w:t>
      </w:r>
      <w:r>
        <w:rPr>
          <w:rFonts w:hint="eastAsia" w:ascii="仿宋_GB2312" w:eastAsia="仿宋_GB2312"/>
          <w:sz w:val="28"/>
          <w:szCs w:val="28"/>
        </w:rPr>
        <w:t>0311）”。</w:t>
      </w:r>
    </w:p>
    <w:p>
      <w:pPr>
        <w:ind w:firstLine="565" w:firstLineChars="202"/>
        <w:rPr>
          <w:rFonts w:ascii="仿宋_GB2312" w:eastAsia="仿宋_GB2312"/>
          <w:sz w:val="28"/>
          <w:szCs w:val="28"/>
        </w:rPr>
      </w:pPr>
      <w:r>
        <w:rPr>
          <w:rFonts w:hint="eastAsia" w:ascii="仿宋_GB2312" w:eastAsia="仿宋_GB2312"/>
          <w:sz w:val="28"/>
          <w:szCs w:val="28"/>
        </w:rPr>
        <w:t>②横坐标轴为日期（格式为XX月XX日），轴标签位置为低；纵坐标轴的主坐标轴为差额，次坐标轴为增长率，格式为百分比，小数位数为0。</w:t>
      </w:r>
    </w:p>
    <w:p>
      <w:pPr>
        <w:ind w:firstLine="565" w:firstLineChars="202"/>
        <w:rPr>
          <w:rFonts w:ascii="仿宋_GB2312" w:eastAsia="仿宋_GB2312"/>
          <w:sz w:val="28"/>
          <w:szCs w:val="28"/>
        </w:rPr>
      </w:pPr>
      <w:r>
        <w:rPr>
          <w:rFonts w:hint="eastAsia" w:ascii="仿宋_GB2312" w:eastAsia="仿宋_GB2312"/>
          <w:sz w:val="28"/>
          <w:szCs w:val="28"/>
        </w:rPr>
        <w:t>③有图例项，底部显示图例，表明差额与增长率。</w:t>
      </w:r>
    </w:p>
    <w:p>
      <w:pPr>
        <w:ind w:firstLine="565" w:firstLineChars="202"/>
        <w:rPr>
          <w:rFonts w:ascii="仿宋_GB2312" w:eastAsia="仿宋_GB2312"/>
          <w:sz w:val="28"/>
          <w:szCs w:val="28"/>
        </w:rPr>
      </w:pPr>
      <w:r>
        <w:rPr>
          <w:rFonts w:hint="eastAsia" w:ascii="仿宋_GB2312" w:eastAsia="仿宋_GB2312"/>
          <w:sz w:val="28"/>
          <w:szCs w:val="28"/>
        </w:rPr>
        <w:t>④有数据标签，表明销量增长率（以百分比表示，保留两位小数，四舍五入）。</w:t>
      </w:r>
    </w:p>
    <w:p>
      <w:pPr>
        <w:ind w:firstLine="565" w:firstLineChars="202"/>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．题目类型1：请做出四所院校的数字商业体验中心所售方便面各品牌201</w:t>
      </w:r>
      <w:r>
        <w:rPr>
          <w:rFonts w:ascii="仿宋_GB2312" w:eastAsia="仿宋_GB2312"/>
          <w:sz w:val="28"/>
          <w:szCs w:val="28"/>
        </w:rPr>
        <w:t>8</w:t>
      </w:r>
      <w:r>
        <w:rPr>
          <w:rFonts w:hint="eastAsia" w:ascii="仿宋_GB2312" w:eastAsia="仿宋_GB2312"/>
          <w:sz w:val="28"/>
          <w:szCs w:val="28"/>
        </w:rPr>
        <w:t>年3月9日至3月11日的总销售额市场占有率的簇状柱形图。（2分）</w:t>
      </w:r>
    </w:p>
    <w:p>
      <w:pPr>
        <w:ind w:firstLine="565" w:firstLineChars="202"/>
        <w:rPr>
          <w:rFonts w:ascii="仿宋_GB2312" w:eastAsia="仿宋_GB2312"/>
          <w:sz w:val="28"/>
          <w:szCs w:val="28"/>
        </w:rPr>
      </w:pPr>
      <w:r>
        <w:rPr>
          <w:rFonts w:hint="eastAsia" w:ascii="仿宋_GB2312" w:eastAsia="仿宋_GB2312"/>
          <w:sz w:val="28"/>
          <w:szCs w:val="28"/>
        </w:rPr>
        <w:t>图表要求：</w:t>
      </w:r>
    </w:p>
    <w:p>
      <w:pPr>
        <w:ind w:firstLine="560" w:firstLineChars="200"/>
        <w:rPr>
          <w:rFonts w:ascii="仿宋_GB2312" w:eastAsia="仿宋_GB2312"/>
          <w:sz w:val="28"/>
          <w:szCs w:val="28"/>
        </w:rPr>
      </w:pPr>
      <w:r>
        <w:rPr>
          <w:rFonts w:hint="eastAsia" w:ascii="仿宋_GB2312" w:eastAsia="仿宋_GB2312"/>
          <w:sz w:val="28"/>
          <w:szCs w:val="28"/>
        </w:rPr>
        <w:t>①图表标题为“四所院校方便面各品牌市场占有率比较（201</w:t>
      </w:r>
      <w:r>
        <w:rPr>
          <w:rFonts w:ascii="仿宋_GB2312" w:eastAsia="仿宋_GB2312"/>
          <w:sz w:val="28"/>
          <w:szCs w:val="28"/>
        </w:rPr>
        <w:t>8</w:t>
      </w:r>
      <w:r>
        <w:rPr>
          <w:rFonts w:hint="eastAsia" w:ascii="仿宋_GB2312" w:eastAsia="仿宋_GB2312"/>
          <w:sz w:val="28"/>
          <w:szCs w:val="28"/>
        </w:rPr>
        <w:t>0309-201</w:t>
      </w:r>
      <w:r>
        <w:rPr>
          <w:rFonts w:ascii="仿宋_GB2312" w:eastAsia="仿宋_GB2312"/>
          <w:sz w:val="28"/>
          <w:szCs w:val="28"/>
        </w:rPr>
        <w:t>8</w:t>
      </w:r>
      <w:r>
        <w:rPr>
          <w:rFonts w:hint="eastAsia" w:ascii="仿宋_GB2312" w:eastAsia="仿宋_GB2312"/>
          <w:sz w:val="28"/>
          <w:szCs w:val="28"/>
        </w:rPr>
        <w:t>0311）”。</w:t>
      </w:r>
    </w:p>
    <w:p>
      <w:pPr>
        <w:ind w:firstLine="560" w:firstLineChars="200"/>
        <w:rPr>
          <w:rFonts w:ascii="仿宋_GB2312" w:eastAsia="仿宋_GB2312"/>
          <w:sz w:val="28"/>
          <w:szCs w:val="28"/>
        </w:rPr>
      </w:pPr>
      <w:r>
        <w:rPr>
          <w:rFonts w:hint="eastAsia" w:ascii="仿宋_GB2312" w:eastAsia="仿宋_GB2312"/>
          <w:sz w:val="28"/>
          <w:szCs w:val="28"/>
        </w:rPr>
        <w:t>②有图例项，右侧显示图例项，表明所对比的品牌的名称。</w:t>
      </w:r>
    </w:p>
    <w:p>
      <w:pPr>
        <w:ind w:firstLine="560" w:firstLineChars="200"/>
        <w:rPr>
          <w:rFonts w:ascii="仿宋_GB2312" w:eastAsia="仿宋_GB2312"/>
          <w:sz w:val="28"/>
          <w:szCs w:val="28"/>
        </w:rPr>
      </w:pPr>
      <w:r>
        <w:rPr>
          <w:rFonts w:hint="eastAsia" w:ascii="仿宋_GB2312" w:eastAsia="仿宋_GB2312"/>
          <w:sz w:val="28"/>
          <w:szCs w:val="28"/>
        </w:rPr>
        <w:t>③纵坐标轴为占比，格式为百分比，小数位数为0。</w:t>
      </w:r>
    </w:p>
    <w:p>
      <w:pPr>
        <w:ind w:firstLine="560" w:firstLineChars="200"/>
        <w:rPr>
          <w:rFonts w:ascii="仿宋_GB2312" w:eastAsia="仿宋_GB2312"/>
          <w:sz w:val="28"/>
          <w:szCs w:val="28"/>
        </w:rPr>
      </w:pPr>
      <w:r>
        <w:rPr>
          <w:rFonts w:hint="eastAsia" w:ascii="仿宋_GB2312" w:eastAsia="仿宋_GB2312"/>
          <w:sz w:val="28"/>
          <w:szCs w:val="28"/>
        </w:rPr>
        <w:t>题目类型2：请做出浙江商业职业技术学院的数字商业体验中心所售方便面各品牌201</w:t>
      </w:r>
      <w:r>
        <w:rPr>
          <w:rFonts w:ascii="仿宋_GB2312" w:eastAsia="仿宋_GB2312"/>
          <w:sz w:val="28"/>
          <w:szCs w:val="28"/>
        </w:rPr>
        <w:t>8</w:t>
      </w:r>
      <w:r>
        <w:rPr>
          <w:rFonts w:hint="eastAsia" w:ascii="仿宋_GB2312" w:eastAsia="仿宋_GB2312"/>
          <w:sz w:val="28"/>
          <w:szCs w:val="28"/>
        </w:rPr>
        <w:t>年3月9日至3月13日的日销售量雷达图，雷达图需将数据表格一并上传。（2分）</w:t>
      </w:r>
    </w:p>
    <w:p>
      <w:pPr>
        <w:ind w:firstLine="560" w:firstLineChars="200"/>
        <w:rPr>
          <w:rFonts w:ascii="仿宋_GB2312" w:eastAsia="仿宋_GB2312"/>
          <w:sz w:val="28"/>
          <w:szCs w:val="28"/>
        </w:rPr>
      </w:pPr>
      <w:r>
        <w:rPr>
          <w:rFonts w:hint="eastAsia" w:ascii="仿宋_GB2312" w:eastAsia="仿宋_GB2312"/>
          <w:sz w:val="28"/>
          <w:szCs w:val="28"/>
        </w:rPr>
        <w:t>图表要求：</w:t>
      </w:r>
    </w:p>
    <w:p>
      <w:pPr>
        <w:ind w:firstLine="560" w:firstLineChars="200"/>
        <w:rPr>
          <w:rFonts w:ascii="仿宋_GB2312" w:eastAsia="仿宋_GB2312"/>
          <w:sz w:val="28"/>
          <w:szCs w:val="28"/>
        </w:rPr>
      </w:pPr>
      <w:r>
        <w:rPr>
          <w:rFonts w:hint="eastAsia" w:ascii="仿宋_GB2312" w:eastAsia="仿宋_GB2312"/>
          <w:sz w:val="28"/>
          <w:szCs w:val="28"/>
        </w:rPr>
        <w:t>①图表标题为“浙江商业职业技术学院方便面各品牌销售雷达图（201</w:t>
      </w:r>
      <w:r>
        <w:rPr>
          <w:rFonts w:ascii="仿宋_GB2312" w:eastAsia="仿宋_GB2312"/>
          <w:sz w:val="28"/>
          <w:szCs w:val="28"/>
        </w:rPr>
        <w:t>8</w:t>
      </w:r>
      <w:r>
        <w:rPr>
          <w:rFonts w:hint="eastAsia" w:ascii="仿宋_GB2312" w:eastAsia="仿宋_GB2312"/>
          <w:sz w:val="28"/>
          <w:szCs w:val="28"/>
        </w:rPr>
        <w:t>0309-201</w:t>
      </w:r>
      <w:r>
        <w:rPr>
          <w:rFonts w:ascii="仿宋_GB2312" w:eastAsia="仿宋_GB2312"/>
          <w:sz w:val="28"/>
          <w:szCs w:val="28"/>
        </w:rPr>
        <w:t>8</w:t>
      </w:r>
      <w:r>
        <w:rPr>
          <w:rFonts w:hint="eastAsia" w:ascii="仿宋_GB2312" w:eastAsia="仿宋_GB2312"/>
          <w:sz w:val="28"/>
          <w:szCs w:val="28"/>
        </w:rPr>
        <w:t>0313）”。</w:t>
      </w:r>
    </w:p>
    <w:p>
      <w:pPr>
        <w:ind w:firstLine="560" w:firstLineChars="200"/>
        <w:rPr>
          <w:rFonts w:ascii="仿宋_GB2312" w:eastAsia="仿宋_GB2312"/>
          <w:sz w:val="28"/>
          <w:szCs w:val="28"/>
        </w:rPr>
      </w:pPr>
      <w:r>
        <w:rPr>
          <w:rFonts w:hint="eastAsia" w:ascii="仿宋_GB2312" w:eastAsia="仿宋_GB2312"/>
          <w:sz w:val="28"/>
          <w:szCs w:val="28"/>
        </w:rPr>
        <w:t>②有图例项，右侧显示图例，表明所对比的品牌名称。</w:t>
      </w:r>
    </w:p>
    <w:p>
      <w:pPr>
        <w:ind w:firstLine="560" w:firstLineChars="200"/>
        <w:rPr>
          <w:rFonts w:ascii="仿宋_GB2312" w:eastAsia="仿宋_GB2312"/>
          <w:sz w:val="28"/>
          <w:szCs w:val="28"/>
        </w:rPr>
      </w:pPr>
      <w:r>
        <w:rPr>
          <w:rFonts w:hint="eastAsia" w:ascii="仿宋_GB2312" w:eastAsia="仿宋_GB2312"/>
          <w:sz w:val="28"/>
          <w:szCs w:val="28"/>
        </w:rPr>
        <w:t>③有分类标签，表明所对比的日期。</w:t>
      </w:r>
    </w:p>
    <w:p>
      <w:pPr>
        <w:ind w:firstLine="560" w:firstLineChars="200"/>
        <w:rPr>
          <w:rFonts w:ascii="仿宋_GB2312" w:eastAsia="仿宋_GB2312"/>
          <w:sz w:val="28"/>
          <w:szCs w:val="28"/>
        </w:rPr>
      </w:pPr>
      <w:r>
        <w:rPr>
          <w:rFonts w:hint="eastAsia" w:ascii="仿宋_GB2312" w:eastAsia="仿宋_GB2312"/>
          <w:sz w:val="28"/>
          <w:szCs w:val="28"/>
        </w:rPr>
        <w:t>④雷达轴以20为主要刻度单位。</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（三）情境营销（</w:t>
      </w:r>
      <w:r>
        <w:rPr>
          <w:rFonts w:ascii="仿宋_GB2312" w:eastAsia="仿宋_GB2312"/>
          <w:sz w:val="28"/>
          <w:szCs w:val="28"/>
        </w:rPr>
        <w:t>70</w:t>
      </w:r>
      <w:r>
        <w:rPr>
          <w:rFonts w:hint="eastAsia" w:ascii="仿宋_GB2312" w:eastAsia="仿宋_GB2312"/>
          <w:sz w:val="28"/>
          <w:szCs w:val="28"/>
        </w:rPr>
        <w:t>分）</w:t>
      </w:r>
    </w:p>
    <w:p>
      <w:pPr>
        <w:spacing w:line="560" w:lineRule="exact"/>
        <w:ind w:firstLine="560" w:firstLineChars="200"/>
        <w:rPr>
          <w:rFonts w:ascii="仿宋_GB2312" w:eastAsia="仿宋_GB2312"/>
          <w:sz w:val="28"/>
          <w:szCs w:val="28"/>
        </w:rPr>
      </w:pPr>
      <w:r>
        <w:rPr>
          <w:rFonts w:ascii="仿宋_GB2312" w:eastAsia="仿宋_GB2312"/>
          <w:sz w:val="28"/>
          <w:szCs w:val="28"/>
        </w:rPr>
        <w:t>本题为公开赛</w:t>
      </w:r>
      <w:r>
        <w:rPr>
          <w:rFonts w:hint="eastAsia" w:ascii="仿宋_GB2312" w:eastAsia="仿宋_GB2312"/>
          <w:sz w:val="28"/>
          <w:szCs w:val="28"/>
        </w:rPr>
        <w:t>卷</w:t>
      </w:r>
      <w:r>
        <w:rPr>
          <w:rFonts w:ascii="仿宋_GB2312" w:eastAsia="仿宋_GB2312"/>
          <w:sz w:val="28"/>
          <w:szCs w:val="28"/>
        </w:rPr>
        <w:t>，</w:t>
      </w:r>
      <w:r>
        <w:rPr>
          <w:rFonts w:hint="eastAsia" w:ascii="仿宋_GB2312" w:eastAsia="仿宋_GB2312"/>
          <w:sz w:val="28"/>
          <w:szCs w:val="28"/>
        </w:rPr>
        <w:t>承诺于开赛前1个月</w:t>
      </w:r>
      <w:r>
        <w:rPr>
          <w:rFonts w:hint="eastAsia" w:ascii="仿宋" w:hAnsi="仿宋" w:eastAsia="仿宋"/>
          <w:sz w:val="28"/>
          <w:szCs w:val="28"/>
        </w:rPr>
        <w:t>在大赛信息发布平台（</w:t>
      </w:r>
      <w:r>
        <w:rPr>
          <w:rFonts w:ascii="仿宋_GB2312" w:eastAsia="仿宋_GB2312"/>
          <w:sz w:val="28"/>
          <w:szCs w:val="28"/>
        </w:rPr>
        <w:t>http://www.fjzyjy.com/compete/main/index</w:t>
      </w:r>
      <w:r>
        <w:rPr>
          <w:rFonts w:hint="eastAsia" w:ascii="仿宋" w:hAnsi="仿宋" w:eastAsia="仿宋"/>
          <w:sz w:val="28"/>
          <w:szCs w:val="28"/>
        </w:rPr>
        <w:t>）</w:t>
      </w:r>
      <w:r>
        <w:rPr>
          <w:rFonts w:hint="eastAsia" w:ascii="仿宋_GB2312" w:eastAsia="仿宋_GB2312"/>
          <w:sz w:val="28"/>
          <w:szCs w:val="28"/>
        </w:rPr>
        <w:t>公开</w:t>
      </w:r>
      <w:r>
        <w:rPr>
          <w:rFonts w:ascii="仿宋_GB2312" w:eastAsia="仿宋_GB2312"/>
          <w:sz w:val="28"/>
          <w:szCs w:val="28"/>
        </w:rPr>
        <w:t>。</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．背景资料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赛卷提供了</w:t>
      </w:r>
      <w:r>
        <w:rPr>
          <w:rFonts w:ascii="仿宋_GB2312" w:eastAsia="仿宋_GB2312"/>
          <w:sz w:val="28"/>
          <w:szCs w:val="28"/>
        </w:rPr>
        <w:t>P1</w:t>
      </w:r>
      <w:r>
        <w:rPr>
          <w:rFonts w:hint="eastAsia" w:ascii="仿宋_GB2312" w:eastAsia="仿宋_GB2312"/>
          <w:sz w:val="28"/>
          <w:szCs w:val="28"/>
        </w:rPr>
        <w:t>、</w:t>
      </w:r>
      <w:r>
        <w:rPr>
          <w:rFonts w:ascii="仿宋_GB2312" w:eastAsia="仿宋_GB2312"/>
          <w:sz w:val="28"/>
          <w:szCs w:val="28"/>
        </w:rPr>
        <w:t>P2</w:t>
      </w:r>
      <w:r>
        <w:rPr>
          <w:rFonts w:hint="eastAsia" w:ascii="仿宋_GB2312" w:eastAsia="仿宋_GB2312"/>
          <w:sz w:val="28"/>
          <w:szCs w:val="28"/>
        </w:rPr>
        <w:t>、</w:t>
      </w:r>
      <w:r>
        <w:rPr>
          <w:rFonts w:ascii="仿宋_GB2312" w:eastAsia="仿宋_GB2312"/>
          <w:sz w:val="28"/>
          <w:szCs w:val="28"/>
        </w:rPr>
        <w:t>P3</w:t>
      </w:r>
      <w:r>
        <w:rPr>
          <w:rFonts w:hint="eastAsia" w:ascii="仿宋_GB2312" w:eastAsia="仿宋_GB2312"/>
          <w:sz w:val="28"/>
          <w:szCs w:val="28"/>
        </w:rPr>
        <w:t>、</w:t>
      </w:r>
      <w:r>
        <w:rPr>
          <w:rFonts w:ascii="仿宋_GB2312" w:eastAsia="仿宋_GB2312"/>
          <w:sz w:val="28"/>
          <w:szCs w:val="28"/>
        </w:rPr>
        <w:t>P4</w:t>
      </w:r>
      <w:r>
        <w:rPr>
          <w:rFonts w:hint="eastAsia" w:ascii="仿宋_GB2312" w:eastAsia="仿宋_GB2312"/>
          <w:sz w:val="28"/>
          <w:szCs w:val="28"/>
        </w:rPr>
        <w:t>四类产品在五个市场未来三年的销售价格、销售数量的预测资料。参赛团队组成企业营销的核心团队，负责的企业是一个生产制造型企业，拥有</w:t>
      </w:r>
      <w:r>
        <w:rPr>
          <w:rFonts w:ascii="仿宋_GB2312" w:eastAsia="仿宋_GB2312"/>
          <w:sz w:val="28"/>
          <w:szCs w:val="28"/>
        </w:rPr>
        <w:t>1911</w:t>
      </w:r>
      <w:r>
        <w:rPr>
          <w:rFonts w:hint="eastAsia" w:ascii="仿宋_GB2312" w:eastAsia="仿宋_GB2312"/>
          <w:sz w:val="28"/>
          <w:szCs w:val="28"/>
        </w:rPr>
        <w:t>万资产，以销售</w:t>
      </w:r>
      <w:r>
        <w:rPr>
          <w:rFonts w:ascii="仿宋_GB2312" w:eastAsia="仿宋_GB2312"/>
          <w:sz w:val="28"/>
          <w:szCs w:val="28"/>
        </w:rPr>
        <w:t>P1</w:t>
      </w:r>
      <w:r>
        <w:rPr>
          <w:rFonts w:hint="eastAsia" w:ascii="仿宋_GB2312" w:eastAsia="仿宋_GB2312"/>
          <w:sz w:val="28"/>
          <w:szCs w:val="28"/>
        </w:rPr>
        <w:t>产品为主营业务，资金充裕，银行信用良好，但是产品单一，只在本地市场销售，竞争越来越激烈，预计未来几年销售收入将继续下降。参赛团队通过目标市场分析与选择、营销策略组合和财务报表分析，使企业的效益最大化。</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．目标市场分析与选择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根据软件提供</w:t>
      </w:r>
      <w:r>
        <w:rPr>
          <w:rFonts w:ascii="仿宋_GB2312" w:eastAsia="仿宋_GB2312"/>
          <w:sz w:val="28"/>
          <w:szCs w:val="28"/>
        </w:rPr>
        <w:t>P1</w:t>
      </w:r>
      <w:r>
        <w:rPr>
          <w:rFonts w:hint="eastAsia" w:ascii="仿宋_GB2312" w:eastAsia="仿宋_GB2312"/>
          <w:sz w:val="28"/>
          <w:szCs w:val="28"/>
        </w:rPr>
        <w:t>、</w:t>
      </w:r>
      <w:r>
        <w:rPr>
          <w:rFonts w:ascii="仿宋_GB2312" w:eastAsia="仿宋_GB2312"/>
          <w:sz w:val="28"/>
          <w:szCs w:val="28"/>
        </w:rPr>
        <w:t>P2</w:t>
      </w:r>
      <w:r>
        <w:rPr>
          <w:rFonts w:hint="eastAsia" w:ascii="仿宋_GB2312" w:eastAsia="仿宋_GB2312"/>
          <w:sz w:val="28"/>
          <w:szCs w:val="28"/>
        </w:rPr>
        <w:t>、</w:t>
      </w:r>
      <w:r>
        <w:rPr>
          <w:rFonts w:ascii="仿宋_GB2312" w:eastAsia="仿宋_GB2312"/>
          <w:sz w:val="28"/>
          <w:szCs w:val="28"/>
        </w:rPr>
        <w:t>P3</w:t>
      </w:r>
      <w:r>
        <w:rPr>
          <w:rFonts w:hint="eastAsia" w:ascii="仿宋_GB2312" w:eastAsia="仿宋_GB2312"/>
          <w:sz w:val="28"/>
          <w:szCs w:val="28"/>
        </w:rPr>
        <w:t>、</w:t>
      </w:r>
      <w:r>
        <w:rPr>
          <w:rFonts w:ascii="仿宋_GB2312" w:eastAsia="仿宋_GB2312"/>
          <w:sz w:val="28"/>
          <w:szCs w:val="28"/>
        </w:rPr>
        <w:t>P4</w:t>
      </w:r>
      <w:r>
        <w:rPr>
          <w:rFonts w:hint="eastAsia" w:ascii="仿宋_GB2312" w:eastAsia="仿宋_GB2312"/>
          <w:sz w:val="28"/>
          <w:szCs w:val="28"/>
        </w:rPr>
        <w:t>四类产品在五个市场未来三年的需求预测图（图1、图2），获取详细的需求信息。选手通过市场预测图进行市场分析，决定是否购买调研报告，通过购买市场调研报告，了解直销客户、批发商、</w:t>
      </w:r>
      <w:r>
        <w:rPr>
          <w:rFonts w:ascii="仿宋_GB2312" w:eastAsia="仿宋_GB2312"/>
          <w:sz w:val="28"/>
          <w:szCs w:val="28"/>
        </w:rPr>
        <w:t xml:space="preserve"> </w:t>
      </w:r>
      <w:r>
        <w:rPr>
          <w:rFonts w:hint="eastAsia" w:ascii="仿宋_GB2312" w:eastAsia="仿宋_GB2312"/>
          <w:sz w:val="28"/>
          <w:szCs w:val="28"/>
        </w:rPr>
        <w:t>零售商（六类消费人群）的需求信息（图3），确定目标市场，制定营销计划。</w:t>
      </w:r>
    </w:p>
    <w:p>
      <w:pPr>
        <w:ind w:firstLine="560" w:firstLineChars="200"/>
        <w:rPr>
          <w:rFonts w:ascii="仿宋_GB2312" w:eastAsia="仿宋_GB2312"/>
          <w:sz w:val="28"/>
          <w:szCs w:val="28"/>
        </w:rPr>
      </w:pPr>
      <w:r>
        <w:rPr>
          <w:rFonts w:hint="eastAsia" w:ascii="仿宋_GB2312" w:eastAsia="仿宋_GB2312"/>
          <w:sz w:val="28"/>
          <w:szCs w:val="28"/>
        </w:rPr>
        <w:t>选手需要熟悉市场细分的概念和意义，掌握目标市场策略选择时要考虑的主要因素，即企业的资源、产品的性质和生命周期、竞争对手的市场策略等。</w:t>
      </w:r>
    </w:p>
    <w:p>
      <w:pPr>
        <w:rPr>
          <w:rFonts w:ascii="仿宋_GB2312" w:eastAsia="仿宋_GB2312"/>
          <w:sz w:val="28"/>
          <w:szCs w:val="28"/>
        </w:rPr>
      </w:pPr>
      <w:r>
        <w:drawing>
          <wp:inline distT="0" distB="0" distL="0" distR="0">
            <wp:extent cx="5274310" cy="1557020"/>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557020"/>
                    </a:xfrm>
                    <a:prstGeom prst="rect">
                      <a:avLst/>
                    </a:prstGeom>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图1需求预测图</w:t>
      </w:r>
    </w:p>
    <w:p>
      <w:pPr>
        <w:rPr>
          <w:rFonts w:ascii="仿宋_GB2312" w:eastAsia="仿宋_GB2312"/>
          <w:sz w:val="28"/>
          <w:szCs w:val="28"/>
        </w:rPr>
      </w:pPr>
      <w:r>
        <w:rPr>
          <w:rFonts w:ascii="仿宋_GB2312" w:eastAsia="仿宋_GB2312"/>
          <w:sz w:val="28"/>
          <w:szCs w:val="28"/>
        </w:rPr>
        <w:drawing>
          <wp:inline distT="0" distB="0" distL="0" distR="0">
            <wp:extent cx="5286375" cy="2019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r="1033"/>
                    <a:stretch>
                      <a:fillRect/>
                    </a:stretch>
                  </pic:blipFill>
                  <pic:spPr>
                    <a:xfrm>
                      <a:off x="0" y="0"/>
                      <a:ext cx="5286375" cy="2019300"/>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2 </w:t>
      </w:r>
      <w:r>
        <w:rPr>
          <w:rFonts w:hint="eastAsia" w:ascii="仿宋_GB2312" w:eastAsia="仿宋_GB2312"/>
          <w:sz w:val="24"/>
          <w:szCs w:val="24"/>
        </w:rPr>
        <w:t>价格预测图</w:t>
      </w:r>
    </w:p>
    <w:p>
      <w:pPr>
        <w:jc w:val="center"/>
        <w:rPr>
          <w:rFonts w:ascii="仿宋_GB2312" w:eastAsia="仿宋_GB2312"/>
          <w:sz w:val="28"/>
          <w:szCs w:val="28"/>
        </w:rPr>
      </w:pPr>
      <w:r>
        <w:rPr>
          <w:rFonts w:ascii="仿宋_GB2312" w:eastAsia="仿宋_GB2312"/>
          <w:sz w:val="28"/>
          <w:szCs w:val="28"/>
        </w:rPr>
        <w:drawing>
          <wp:inline distT="0" distB="0" distL="0" distR="0">
            <wp:extent cx="5143500" cy="16002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43500" cy="1600200"/>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3 </w:t>
      </w:r>
      <w:r>
        <w:rPr>
          <w:rFonts w:hint="eastAsia" w:ascii="仿宋_GB2312" w:eastAsia="仿宋_GB2312"/>
          <w:sz w:val="24"/>
          <w:szCs w:val="24"/>
        </w:rPr>
        <w:t>市场需求图</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．价格策略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根据定价目标，确定需求、估算成本、选择定价方法，制定最终价格。比如：企业</w:t>
      </w:r>
      <w:r>
        <w:rPr>
          <w:rFonts w:ascii="仿宋_GB2312" w:eastAsia="仿宋_GB2312"/>
          <w:sz w:val="28"/>
          <w:szCs w:val="28"/>
        </w:rPr>
        <w:t>P1</w:t>
      </w:r>
      <w:r>
        <w:rPr>
          <w:rFonts w:hint="eastAsia" w:ascii="仿宋_GB2312" w:eastAsia="仿宋_GB2312"/>
          <w:sz w:val="28"/>
          <w:szCs w:val="28"/>
        </w:rPr>
        <w:t>库存较大，直接成本是</w:t>
      </w:r>
      <w:r>
        <w:rPr>
          <w:rFonts w:ascii="仿宋_GB2312" w:eastAsia="仿宋_GB2312"/>
          <w:sz w:val="28"/>
          <w:szCs w:val="28"/>
        </w:rPr>
        <w:t>2</w:t>
      </w:r>
      <w:r>
        <w:rPr>
          <w:rFonts w:hint="eastAsia" w:ascii="仿宋_GB2312" w:eastAsia="仿宋_GB2312"/>
          <w:sz w:val="28"/>
          <w:szCs w:val="28"/>
        </w:rPr>
        <w:t>，零售市场平均期望价是</w:t>
      </w:r>
      <w:r>
        <w:rPr>
          <w:rFonts w:ascii="仿宋_GB2312" w:eastAsia="仿宋_GB2312"/>
          <w:sz w:val="28"/>
          <w:szCs w:val="28"/>
        </w:rPr>
        <w:t>8</w:t>
      </w:r>
      <w:r>
        <w:rPr>
          <w:rFonts w:hint="eastAsia" w:ascii="仿宋_GB2312" w:eastAsia="仿宋_GB2312"/>
          <w:sz w:val="28"/>
          <w:szCs w:val="28"/>
        </w:rPr>
        <w:t>，参赛选手制定合适价格。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检验参赛选手对价格构成要素及其影响的分析，定价因素的理解和掌握情况；检验参赛选手对定价目标和原则的熟悉和掌握情况；检验参赛选手对定价程序和方法的掌握和运用情况；检验参赛选手对定价策略的掌握和运用情况。熟悉价格制定的原理和方法，灵活运用价格策略，实现成功营销。</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．渠道策略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根据调研报告提供四种产品、三种营销渠道的市场预测价格和数量，结合企业自身和竞争对手状况，采用多渠道组合营销手段扩大销售。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熟悉直销、批发、零售三种渠道的概念及特征，掌握影响渠道模式选择的因素：产品因素、市场因素、企业自身因素和竞争对手因素。</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）直销：选手只有在进行了直销客户的开发以后，才有机会参与直销客户的投标。投标流程为：投标报名、资格预审、购买标书、投标、中标公示。采用综合评分法确定中标小组，缴纳投标保证金。</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）批发：选手需根据自身的营销策略，在不同市场上制定不同产品的批发招商广告的投放策略，招商广告费用最低为</w:t>
      </w:r>
      <w:r>
        <w:rPr>
          <w:rFonts w:ascii="仿宋_GB2312" w:eastAsia="仿宋_GB2312"/>
          <w:sz w:val="28"/>
          <w:szCs w:val="28"/>
        </w:rPr>
        <w:t>1W</w:t>
      </w:r>
      <w:r>
        <w:rPr>
          <w:rFonts w:hint="eastAsia" w:ascii="仿宋_GB2312" w:eastAsia="仿宋_GB2312"/>
          <w:sz w:val="28"/>
          <w:szCs w:val="28"/>
        </w:rPr>
        <w:t>，最高不限制，但必须是整数。选手在投放招商广告完成后，由系统判定选单顺序。</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）零售：为了扩大市场，提高销售额，选手需要选择更多合适的零售商进店销售。选手在选择合适的零售商签约以后，需要将自己的产品配送给各个零售商进行销售。</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．促销策略</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）销售促销：选手采用满就送、多买折扣、买第几件折扣等促销活动，吸引不定型消费人群，增大销售额。熟悉销售促销的概念，掌握销售促销的活动方式。</w:t>
      </w:r>
    </w:p>
    <w:p>
      <w:pPr>
        <w:jc w:val="center"/>
        <w:rPr>
          <w:rFonts w:ascii="仿宋_GB2312" w:eastAsia="仿宋_GB2312"/>
          <w:sz w:val="28"/>
          <w:szCs w:val="28"/>
        </w:rPr>
      </w:pPr>
      <w:r>
        <w:rPr>
          <w:rFonts w:ascii="仿宋_GB2312" w:eastAsia="仿宋_GB2312"/>
          <w:sz w:val="28"/>
          <w:szCs w:val="28"/>
        </w:rPr>
        <w:drawing>
          <wp:inline distT="0" distB="0" distL="0" distR="0">
            <wp:extent cx="5219700" cy="17049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9700" cy="1704975"/>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4 </w:t>
      </w:r>
      <w:r>
        <w:rPr>
          <w:rFonts w:hint="eastAsia" w:ascii="仿宋_GB2312" w:eastAsia="仿宋_GB2312"/>
          <w:sz w:val="24"/>
          <w:szCs w:val="24"/>
        </w:rPr>
        <w:t>满就送促销</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）广告策略：选手选择百度竞价排名和央视的多个时段投放广告，吸引习惯型消费人群，增大销售额。熟悉广告的概念、分类；掌握广告的基本原则；掌握广告媒体选择应考虑的因素。</w:t>
      </w:r>
    </w:p>
    <w:p>
      <w:pPr>
        <w:jc w:val="center"/>
        <w:rPr>
          <w:rFonts w:ascii="仿宋_GB2312" w:eastAsia="仿宋_GB2312"/>
          <w:sz w:val="28"/>
          <w:szCs w:val="28"/>
        </w:rPr>
      </w:pPr>
      <w:r>
        <w:rPr>
          <w:rFonts w:ascii="仿宋_GB2312" w:eastAsia="仿宋_GB2312"/>
          <w:sz w:val="28"/>
          <w:szCs w:val="28"/>
        </w:rPr>
        <w:drawing>
          <wp:inline distT="0" distB="0" distL="0" distR="0">
            <wp:extent cx="5274310" cy="2680335"/>
            <wp:effectExtent l="0" t="0" r="2540" b="5715"/>
            <wp:docPr id="14" name="图片 14" descr="C:\Users\lenovo\Documents\Tencent Files\717851679\Image\C2C\D}G@3~8KY`8374KGUB{4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enovo\Documents\Tencent Files\717851679\Image\C2C\D}G@3~8KY`8374KGUB{4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2680387"/>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5  </w:t>
      </w:r>
      <w:r>
        <w:rPr>
          <w:rFonts w:hint="eastAsia" w:ascii="仿宋_GB2312" w:eastAsia="仿宋_GB2312"/>
          <w:sz w:val="24"/>
          <w:szCs w:val="24"/>
        </w:rPr>
        <w:t>媒体位置或时段价格表</w:t>
      </w:r>
    </w:p>
    <w:p>
      <w:pPr>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．产品策略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根据目标市场选择，制定产品研发计划和产品生产计划。目前只有</w:t>
      </w:r>
      <w:r>
        <w:rPr>
          <w:rFonts w:ascii="仿宋_GB2312" w:eastAsia="仿宋_GB2312"/>
          <w:sz w:val="28"/>
          <w:szCs w:val="28"/>
        </w:rPr>
        <w:t>P1</w:t>
      </w:r>
      <w:r>
        <w:rPr>
          <w:rFonts w:hint="eastAsia" w:ascii="仿宋_GB2312" w:eastAsia="仿宋_GB2312"/>
          <w:sz w:val="28"/>
          <w:szCs w:val="28"/>
        </w:rPr>
        <w:t>产品，</w:t>
      </w:r>
      <w:r>
        <w:rPr>
          <w:rFonts w:ascii="仿宋_GB2312" w:eastAsia="仿宋_GB2312"/>
          <w:sz w:val="28"/>
          <w:szCs w:val="28"/>
        </w:rPr>
        <w:t xml:space="preserve">P2 </w:t>
      </w:r>
      <w:r>
        <w:rPr>
          <w:rFonts w:hint="eastAsia" w:ascii="仿宋_GB2312" w:eastAsia="仿宋_GB2312"/>
          <w:sz w:val="28"/>
          <w:szCs w:val="28"/>
        </w:rPr>
        <w:t>、</w:t>
      </w:r>
      <w:r>
        <w:rPr>
          <w:rFonts w:ascii="仿宋_GB2312" w:eastAsia="仿宋_GB2312"/>
          <w:sz w:val="28"/>
          <w:szCs w:val="28"/>
        </w:rPr>
        <w:t>P3</w:t>
      </w:r>
      <w:r>
        <w:rPr>
          <w:rFonts w:hint="eastAsia" w:ascii="仿宋_GB2312" w:eastAsia="仿宋_GB2312"/>
          <w:sz w:val="28"/>
          <w:szCs w:val="28"/>
        </w:rPr>
        <w:t>、</w:t>
      </w:r>
      <w:r>
        <w:rPr>
          <w:rFonts w:ascii="仿宋_GB2312" w:eastAsia="仿宋_GB2312"/>
          <w:sz w:val="28"/>
          <w:szCs w:val="28"/>
        </w:rPr>
        <w:t>P4</w:t>
      </w:r>
      <w:r>
        <w:rPr>
          <w:rFonts w:hint="eastAsia" w:ascii="仿宋_GB2312" w:eastAsia="仿宋_GB2312"/>
          <w:sz w:val="28"/>
          <w:szCs w:val="28"/>
        </w:rPr>
        <w:t>需要三个季度研发，研发费用每季度</w:t>
      </w:r>
      <w:r>
        <w:rPr>
          <w:rFonts w:ascii="仿宋_GB2312" w:eastAsia="仿宋_GB2312"/>
          <w:sz w:val="28"/>
          <w:szCs w:val="28"/>
        </w:rPr>
        <w:t>10W</w:t>
      </w:r>
      <w:r>
        <w:rPr>
          <w:rFonts w:hint="eastAsia" w:ascii="仿宋_GB2312" w:eastAsia="仿宋_GB2312"/>
          <w:sz w:val="28"/>
          <w:szCs w:val="28"/>
        </w:rPr>
        <w:t>、</w:t>
      </w:r>
      <w:r>
        <w:rPr>
          <w:rFonts w:ascii="仿宋_GB2312" w:eastAsia="仿宋_GB2312"/>
          <w:sz w:val="28"/>
          <w:szCs w:val="28"/>
        </w:rPr>
        <w:t>20W</w:t>
      </w:r>
      <w:r>
        <w:rPr>
          <w:rFonts w:hint="eastAsia" w:ascii="仿宋_GB2312" w:eastAsia="仿宋_GB2312"/>
          <w:sz w:val="28"/>
          <w:szCs w:val="28"/>
        </w:rPr>
        <w:t>、</w:t>
      </w:r>
      <w:r>
        <w:rPr>
          <w:rFonts w:ascii="仿宋_GB2312" w:eastAsia="仿宋_GB2312"/>
          <w:sz w:val="28"/>
          <w:szCs w:val="28"/>
        </w:rPr>
        <w:t>30W</w:t>
      </w:r>
      <w:r>
        <w:rPr>
          <w:rFonts w:hint="eastAsia" w:ascii="仿宋_GB2312" w:eastAsia="仿宋_GB2312"/>
          <w:sz w:val="28"/>
          <w:szCs w:val="28"/>
        </w:rPr>
        <w:t>。只有产品研发完成后，才能进行该产品的生产。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熟悉产品市场生命周期的概念；掌握产品组合策略和差异化策略。</w:t>
      </w:r>
    </w:p>
    <w:p>
      <w:pPr>
        <w:spacing w:line="56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．财务</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）应收应付：及时进行应收账款和应付账款的结算。</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）融资：系统中向企业运营提供了三种融资方式：短期贷款、民间融资和长期贷款。选手可根据企业经营状态进行融资。</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）支付费用：零售商管理费、租赁费</w:t>
      </w:r>
      <w:r>
        <w:rPr>
          <w:rFonts w:ascii="仿宋_GB2312" w:eastAsia="仿宋_GB2312"/>
          <w:sz w:val="28"/>
          <w:szCs w:val="28"/>
        </w:rPr>
        <w:t>/</w:t>
      </w:r>
      <w:r>
        <w:rPr>
          <w:rFonts w:hint="eastAsia" w:ascii="仿宋_GB2312" w:eastAsia="仿宋_GB2312"/>
          <w:sz w:val="28"/>
          <w:szCs w:val="28"/>
        </w:rPr>
        <w:t>维修费、库存管理费。</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）缴税：每年第一季度缴纳上年度企业所得税。</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）根据系统自动生成的财务报表进行盈亏分析，制定下一步营销策略。</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w:t>
      </w:r>
      <w:r>
        <w:rPr>
          <w:rFonts w:hint="eastAsia" w:ascii="仿宋_GB2312" w:eastAsia="仿宋_GB2312"/>
          <w:sz w:val="28"/>
          <w:szCs w:val="28"/>
        </w:rPr>
        <w:t>读懂财务报表，管理应收账款，维持良好的资金流，估算成本和毛利率，进行盈亏分析。</w:t>
      </w:r>
    </w:p>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七、竞赛规则</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（一）报名资格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高职组</w:t>
      </w:r>
      <w:r>
        <w:rPr>
          <w:rFonts w:ascii="仿宋_GB2312" w:eastAsia="仿宋_GB2312"/>
          <w:sz w:val="28"/>
          <w:szCs w:val="28"/>
        </w:rPr>
        <w:t>参赛选手须为普通高等学校全日制在籍专科学生。本科院校中高职类全日制在籍学生可报名参加高职组比赛。五年制高职学生报名参赛的，四、五年级学生参加高职组比赛。</w:t>
      </w:r>
      <w:r>
        <w:rPr>
          <w:rFonts w:hint="eastAsia" w:ascii="仿宋_GB2312" w:eastAsia="仿宋_GB2312"/>
          <w:sz w:val="28"/>
          <w:szCs w:val="28"/>
        </w:rPr>
        <w:t>高职组参赛选手年龄须不超过</w:t>
      </w:r>
      <w:r>
        <w:rPr>
          <w:rFonts w:ascii="仿宋_GB2312" w:eastAsia="仿宋_GB2312"/>
          <w:sz w:val="28"/>
          <w:szCs w:val="28"/>
        </w:rPr>
        <w:t>25</w:t>
      </w:r>
      <w:r>
        <w:rPr>
          <w:rFonts w:hint="eastAsia" w:ascii="仿宋_GB2312" w:eastAsia="仿宋_GB2312"/>
          <w:sz w:val="28"/>
          <w:szCs w:val="28"/>
        </w:rPr>
        <w:t>周岁，年龄计算的截止到2</w:t>
      </w:r>
      <w:r>
        <w:rPr>
          <w:rFonts w:ascii="仿宋_GB2312" w:eastAsia="仿宋_GB2312"/>
          <w:sz w:val="28"/>
          <w:szCs w:val="28"/>
        </w:rPr>
        <w:t>018年</w:t>
      </w:r>
      <w:r>
        <w:rPr>
          <w:rFonts w:hint="eastAsia" w:ascii="仿宋_GB2312" w:eastAsia="仿宋_GB2312"/>
          <w:sz w:val="28"/>
          <w:szCs w:val="28"/>
        </w:rPr>
        <w:t>5月1日。</w:t>
      </w:r>
      <w:r>
        <w:rPr>
          <w:rFonts w:hint="eastAsia" w:ascii="仿宋_GB2312" w:eastAsia="仿宋_GB2312"/>
          <w:color w:val="000000" w:themeColor="text1"/>
          <w:sz w:val="28"/>
          <w:szCs w:val="28"/>
          <w14:textFill>
            <w14:solidFill>
              <w14:schemeClr w14:val="tx1"/>
            </w14:solidFill>
          </w14:textFill>
        </w:rPr>
        <w:t>凡在往届全国职业院校技能大赛中获一等奖的选手，不能再参加同一项目的比赛。</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（二）报名要求</w:t>
      </w:r>
    </w:p>
    <w:p>
      <w:pPr>
        <w:spacing w:line="560" w:lineRule="exact"/>
        <w:ind w:firstLine="560" w:firstLineChars="200"/>
        <w:rPr>
          <w:rFonts w:ascii="仿宋_GB2312" w:eastAsia="仿宋_GB2312"/>
          <w:color w:val="FF0000"/>
          <w:sz w:val="28"/>
          <w:szCs w:val="28"/>
        </w:rPr>
      </w:pPr>
      <w:r>
        <w:rPr>
          <w:rFonts w:hint="eastAsia" w:ascii="仿宋_GB2312" w:eastAsia="仿宋_GB2312"/>
          <w:color w:val="000000" w:themeColor="text1"/>
          <w:sz w:val="28"/>
          <w:szCs w:val="28"/>
          <w14:textFill>
            <w14:solidFill>
              <w14:schemeClr w14:val="tx1"/>
            </w14:solidFill>
          </w14:textFill>
        </w:rPr>
        <w:t>报名</w:t>
      </w:r>
      <w:r>
        <w:rPr>
          <w:rFonts w:ascii="仿宋_GB2312" w:eastAsia="仿宋_GB2312"/>
          <w:color w:val="000000" w:themeColor="text1"/>
          <w:sz w:val="28"/>
          <w:szCs w:val="28"/>
          <w14:textFill>
            <w14:solidFill>
              <w14:schemeClr w14:val="tx1"/>
            </w14:solidFill>
          </w14:textFill>
        </w:rPr>
        <w:t>由各省教育行政部门在大赛执行委员会办公室确定的报名时间内，通过福建省职业院校赛事管理平台网络报名系统组织完成本省的参赛报名工作。参赛选手和指导教师报名获得确认后不得随意更换。如比赛前参赛选手和指导教师因故无法参赛，须由省级教育行政部门于相应赛项开赛10个工作日</w:t>
      </w:r>
      <w:r>
        <w:rPr>
          <w:rFonts w:hint="eastAsia" w:ascii="仿宋_GB2312" w:eastAsia="仿宋_GB2312"/>
          <w:color w:val="000000" w:themeColor="text1"/>
          <w:sz w:val="28"/>
          <w:szCs w:val="28"/>
          <w14:textFill>
            <w14:solidFill>
              <w14:schemeClr w14:val="tx1"/>
            </w14:solidFill>
          </w14:textFill>
        </w:rPr>
        <w:t>竞赛开始后，参赛队不得更换参赛</w:t>
      </w:r>
      <w:r>
        <w:rPr>
          <w:rFonts w:ascii="仿宋_GB2312" w:eastAsia="仿宋_GB2312"/>
          <w:color w:val="000000" w:themeColor="text1"/>
          <w:sz w:val="28"/>
          <w:szCs w:val="28"/>
          <w14:textFill>
            <w14:solidFill>
              <w14:schemeClr w14:val="tx1"/>
            </w14:solidFill>
          </w14:textFill>
        </w:rPr>
        <w:t>之前出具书面说明，经大赛执委会办公室核实后予以更换</w:t>
      </w:r>
      <w:r>
        <w:rPr>
          <w:rFonts w:hint="eastAsia" w:ascii="仿宋_GB2312" w:eastAsia="仿宋_GB2312"/>
          <w:color w:val="000000" w:themeColor="text1"/>
          <w:sz w:val="28"/>
          <w:szCs w:val="28"/>
          <w14:textFill>
            <w14:solidFill>
              <w14:schemeClr w14:val="tx1"/>
            </w14:solidFill>
          </w14:textFill>
        </w:rPr>
        <w:t>；队员，允许队员缺席比赛</w:t>
      </w:r>
      <w:r>
        <w:rPr>
          <w:rFonts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团体赛选手因特殊原因不能参加比赛时，由大赛执委会办公室根据赛项的特点决定是否可进行缺员比赛，并上报大赛执委会备案。</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（三）赛前准备</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．领队会议：比赛日前一天下午</w:t>
      </w:r>
      <w:r>
        <w:rPr>
          <w:rFonts w:ascii="仿宋_GB2312" w:eastAsia="仿宋_GB2312"/>
          <w:sz w:val="28"/>
          <w:szCs w:val="28"/>
        </w:rPr>
        <w:t>15</w:t>
      </w:r>
      <w:r>
        <w:rPr>
          <w:rFonts w:hint="eastAsia" w:ascii="仿宋_GB2312" w:eastAsia="仿宋_GB2312"/>
          <w:sz w:val="28"/>
          <w:szCs w:val="28"/>
        </w:rPr>
        <w:t>：0</w:t>
      </w:r>
      <w:r>
        <w:rPr>
          <w:rFonts w:ascii="仿宋_GB2312" w:eastAsia="仿宋_GB2312"/>
          <w:sz w:val="28"/>
          <w:szCs w:val="28"/>
        </w:rPr>
        <w:t>0-1</w:t>
      </w:r>
      <w:r>
        <w:rPr>
          <w:rFonts w:hint="eastAsia" w:ascii="仿宋_GB2312" w:eastAsia="仿宋_GB2312"/>
          <w:sz w:val="28"/>
          <w:szCs w:val="28"/>
        </w:rPr>
        <w:t>5：3</w:t>
      </w:r>
      <w:r>
        <w:rPr>
          <w:rFonts w:ascii="仿宋_GB2312" w:eastAsia="仿宋_GB2312"/>
          <w:sz w:val="28"/>
          <w:szCs w:val="28"/>
        </w:rPr>
        <w:t>0</w:t>
      </w:r>
      <w:r>
        <w:rPr>
          <w:rFonts w:hint="eastAsia" w:ascii="仿宋_GB2312" w:eastAsia="仿宋_GB2312"/>
          <w:sz w:val="28"/>
          <w:szCs w:val="28"/>
        </w:rPr>
        <w:t>召开领队会议，由各参赛队伍的领队和指导教师参加，会议讲解竞赛注意事项并进行赛前答疑。</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．熟悉场地：比赛日前一天下午</w:t>
      </w:r>
      <w:r>
        <w:rPr>
          <w:rFonts w:ascii="仿宋_GB2312" w:eastAsia="仿宋_GB2312"/>
          <w:sz w:val="28"/>
          <w:szCs w:val="28"/>
        </w:rPr>
        <w:t>1</w:t>
      </w:r>
      <w:r>
        <w:rPr>
          <w:rFonts w:hint="eastAsia" w:ascii="仿宋_GB2312" w:eastAsia="仿宋_GB2312"/>
          <w:sz w:val="28"/>
          <w:szCs w:val="28"/>
        </w:rPr>
        <w:t>5：3</w:t>
      </w:r>
      <w:r>
        <w:rPr>
          <w:rFonts w:ascii="仿宋_GB2312" w:eastAsia="仿宋_GB2312"/>
          <w:sz w:val="28"/>
          <w:szCs w:val="28"/>
        </w:rPr>
        <w:t>0-1</w:t>
      </w:r>
      <w:r>
        <w:rPr>
          <w:rFonts w:hint="eastAsia" w:ascii="仿宋_GB2312" w:eastAsia="仿宋_GB2312"/>
          <w:sz w:val="28"/>
          <w:szCs w:val="28"/>
        </w:rPr>
        <w:t>6：0</w:t>
      </w:r>
      <w:r>
        <w:rPr>
          <w:rFonts w:ascii="仿宋_GB2312" w:eastAsia="仿宋_GB2312"/>
          <w:sz w:val="28"/>
          <w:szCs w:val="28"/>
        </w:rPr>
        <w:t>0</w:t>
      </w:r>
      <w:r>
        <w:rPr>
          <w:rFonts w:hint="eastAsia" w:ascii="仿宋_GB2312" w:eastAsia="仿宋_GB2312"/>
          <w:sz w:val="28"/>
          <w:szCs w:val="28"/>
        </w:rPr>
        <w:t>开放赛场，熟悉场地。</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．抽签仪式：比赛前一小时内举行抽签仪式，通过抽签确定各参赛队伍的赛场座次。</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．参赛队员入场：参赛选手应提前</w:t>
      </w:r>
      <w:r>
        <w:rPr>
          <w:rFonts w:ascii="仿宋_GB2312" w:eastAsia="仿宋_GB2312"/>
          <w:sz w:val="28"/>
          <w:szCs w:val="28"/>
        </w:rPr>
        <w:t>15</w:t>
      </w:r>
      <w:r>
        <w:rPr>
          <w:rFonts w:hint="eastAsia" w:ascii="仿宋_GB2312" w:eastAsia="仿宋_GB2312"/>
          <w:sz w:val="28"/>
          <w:szCs w:val="28"/>
        </w:rPr>
        <w:t>分钟到达赛场，凭参赛证、身份证检录，按要求入场，不得迟到早退。并根据抽签结果在对应的座位入座，裁判负责核对参赛队员信息；严禁参赛选手携带与竞赛无关的电子设备、通讯设备及其他相关资料与用品入场。</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（四）比赛期间</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．各参赛队伍打开电脑，进入竞赛平台，并修改各自密码。由裁判长宣布比赛开始，各参赛队伍开始竞赛。</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赛过程中，如有疑问，参赛选手应持“咨询”示意牌示意，裁判长应按照有关要求及时予以答疑。如遇设备或软件等故障，参赛选手应持“故障”示意牌示意。裁判长、技术人员等应及时予以解决。确因计算机软件或硬件故障，致使操作无法继续的，经裁判长确认，予以启用备用计算机。如遇身体不适，参赛选手应持“医务”示意牌示意，现场医务人员按应急预案救治。</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．情境营销模块比赛开始后，在运营过程中，赛场裁判负责控制招标过程，并宣布阶段性成绩。</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（五）成绩公布</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．营销实战汇报模块，每个汇报赛场</w:t>
      </w:r>
      <w:r>
        <w:rPr>
          <w:rFonts w:ascii="仿宋_GB2312" w:eastAsia="仿宋_GB2312"/>
          <w:sz w:val="28"/>
          <w:szCs w:val="28"/>
        </w:rPr>
        <w:t>5</w:t>
      </w:r>
      <w:r>
        <w:rPr>
          <w:rFonts w:hint="eastAsia" w:ascii="仿宋_GB2312" w:eastAsia="仿宋_GB2312"/>
          <w:sz w:val="28"/>
          <w:szCs w:val="28"/>
        </w:rPr>
        <w:t>名裁判根据评分标准现场评分，去掉一个最高分和一个最低分后，剩余三位裁判的打分取平均值作为最终汇报成绩。裁判将成绩登录在竞赛成绩单上。</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．商务数据分析模块在参赛选手提交答卷后，填空题部分系统自动评分，制图题部分由评分裁判进行评分。裁判将成绩登录在竞赛成绩单上。</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．情境营销模块按照竞赛规程，在经营三个会计年度后，裁判公布竞赛结果，并将成绩登录在竞赛成绩单上。</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．各参赛队伍派一名参赛代表在竞赛成绩单上签字，裁判监督所有参赛队伍签字后，裁判签字。赛场裁判将数据进行备份和保存，成绩单提交给大赛执委会备案。</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．赛项执委会在三个模块全部竞赛完毕并经公示程序后，在闭幕式上公布成绩。</w:t>
      </w:r>
    </w:p>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八、竞赛环境</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（一）竞赛场地</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．竞赛场地设在体育馆内或电脑机房，场地内设置满足整个团队的竞赛环境，分成至少</w:t>
      </w:r>
      <w:r>
        <w:rPr>
          <w:rFonts w:hint="eastAsia" w:ascii="仿宋_GB2312" w:eastAsia="仿宋_GB2312"/>
          <w:color w:val="000000" w:themeColor="text1"/>
          <w:sz w:val="28"/>
          <w:szCs w:val="28"/>
          <w14:textFill>
            <w14:solidFill>
              <w14:schemeClr w14:val="tx1"/>
            </w14:solidFill>
          </w14:textFill>
        </w:rPr>
        <w:t>4</w:t>
      </w:r>
      <w:r>
        <w:rPr>
          <w:rFonts w:hint="eastAsia" w:ascii="仿宋_GB2312" w:eastAsia="仿宋_GB2312"/>
          <w:sz w:val="28"/>
          <w:szCs w:val="28"/>
        </w:rPr>
        <w:t>个赛区。</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．一个参赛队一个赛位，每个赛位三台电脑，其中一台电脑备用，两张桌子，四把椅子；</w:t>
      </w:r>
      <w:r>
        <w:rPr>
          <w:rFonts w:hint="eastAsia" w:ascii="Times New Roman" w:hAnsi="Times New Roman" w:eastAsia="仿宋_GB2312"/>
          <w:sz w:val="28"/>
          <w:szCs w:val="28"/>
        </w:rPr>
        <w:t>单个赛位面积3*2.5</w:t>
      </w:r>
      <w:r>
        <w:rPr>
          <w:rFonts w:ascii="Times New Roman" w:hAnsi="Times New Roman" w:eastAsia="仿宋_GB2312"/>
          <w:sz w:val="28"/>
          <w:szCs w:val="28"/>
        </w:rPr>
        <w:t>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3．竞赛场地内设置背景板、宣传横幅及壁挂图，营造竞赛氛围。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4．竞赛场地外设置观众席和大屏幕，便于竞赛全程的观摩和监督。</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．局域网络。采用星形网络拓扑结构，安装千兆交换机。网线与电源线隐蔽铺设。采用独立网络环境，不连接</w:t>
      </w:r>
      <w:r>
        <w:rPr>
          <w:rFonts w:ascii="仿宋_GB2312" w:eastAsia="仿宋_GB2312"/>
          <w:sz w:val="28"/>
          <w:szCs w:val="28"/>
        </w:rPr>
        <w:t>INTERNET</w:t>
      </w:r>
      <w:r>
        <w:rPr>
          <w:rFonts w:hint="eastAsia" w:ascii="仿宋_GB2312" w:eastAsia="仿宋_GB2312"/>
          <w:sz w:val="28"/>
          <w:szCs w:val="28"/>
        </w:rPr>
        <w:t>，禁止外部电脑接入。</w:t>
      </w:r>
    </w:p>
    <w:p>
      <w:pPr>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．安全保障。采用统一的杀毒软件对服务器进行防毒保护。屏蔽竞赛现场使用的电脑</w:t>
      </w:r>
      <w:r>
        <w:rPr>
          <w:rFonts w:ascii="仿宋_GB2312" w:eastAsia="仿宋_GB2312"/>
          <w:sz w:val="28"/>
          <w:szCs w:val="28"/>
        </w:rPr>
        <w:t>USB</w:t>
      </w:r>
      <w:r>
        <w:rPr>
          <w:rFonts w:hint="eastAsia" w:ascii="仿宋_GB2312" w:eastAsia="仿宋_GB2312"/>
          <w:sz w:val="28"/>
          <w:szCs w:val="28"/>
        </w:rPr>
        <w:t>接口。部署具有网络管理、账号管理和日志管理功能的综合监控系统。</w:t>
      </w:r>
    </w:p>
    <w:p>
      <w:pPr>
        <w:spacing w:line="56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．采用双路供电。利用</w:t>
      </w:r>
      <w:r>
        <w:rPr>
          <w:rFonts w:ascii="仿宋_GB2312" w:eastAsia="仿宋_GB2312"/>
          <w:sz w:val="28"/>
          <w:szCs w:val="28"/>
        </w:rPr>
        <w:t>UPS</w:t>
      </w:r>
      <w:r>
        <w:rPr>
          <w:rFonts w:hint="eastAsia" w:ascii="仿宋_GB2312" w:eastAsia="仿宋_GB2312"/>
          <w:sz w:val="28"/>
          <w:szCs w:val="28"/>
        </w:rPr>
        <w:t>防止现场因突然断电导致的系统数据丢失，额定功率：</w:t>
      </w:r>
      <w:r>
        <w:rPr>
          <w:rFonts w:ascii="仿宋_GB2312" w:eastAsia="仿宋_GB2312"/>
          <w:sz w:val="28"/>
          <w:szCs w:val="28"/>
        </w:rPr>
        <w:t>3KVA</w:t>
      </w:r>
      <w:r>
        <w:rPr>
          <w:rFonts w:hint="eastAsia" w:ascii="仿宋_GB2312" w:eastAsia="仿宋_GB2312"/>
          <w:sz w:val="28"/>
          <w:szCs w:val="28"/>
        </w:rPr>
        <w:t>，后备时间：</w:t>
      </w:r>
      <w:r>
        <w:rPr>
          <w:rFonts w:ascii="仿宋_GB2312" w:eastAsia="仿宋_GB2312"/>
          <w:sz w:val="28"/>
          <w:szCs w:val="28"/>
        </w:rPr>
        <w:t>2</w:t>
      </w:r>
      <w:r>
        <w:rPr>
          <w:rFonts w:hint="eastAsia" w:ascii="仿宋_GB2312" w:eastAsia="仿宋_GB2312"/>
          <w:sz w:val="28"/>
          <w:szCs w:val="28"/>
        </w:rPr>
        <w:t>小时，电池类型：输出电压：</w:t>
      </w:r>
      <w:r>
        <w:rPr>
          <w:rFonts w:ascii="仿宋_GB2312" w:eastAsia="仿宋_GB2312"/>
          <w:sz w:val="28"/>
          <w:szCs w:val="28"/>
        </w:rPr>
        <w:t>230V</w:t>
      </w:r>
      <w:r>
        <w:rPr>
          <w:rFonts w:hint="eastAsia" w:ascii="仿宋_GB2312" w:eastAsia="仿宋_GB2312"/>
          <w:sz w:val="28"/>
          <w:szCs w:val="28"/>
        </w:rPr>
        <w:t>±</w:t>
      </w:r>
      <w:r>
        <w:rPr>
          <w:rFonts w:ascii="仿宋_GB2312" w:eastAsia="仿宋_GB2312"/>
          <w:sz w:val="28"/>
          <w:szCs w:val="28"/>
        </w:rPr>
        <w:t>5%V</w:t>
      </w:r>
      <w:r>
        <w:rPr>
          <w:rFonts w:hint="eastAsia" w:ascii="仿宋_GB2312" w:eastAsia="仿宋_GB2312"/>
          <w:sz w:val="28"/>
          <w:szCs w:val="28"/>
        </w:rPr>
        <w:t>。</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（二）汇报场地</w:t>
      </w:r>
    </w:p>
    <w:p>
      <w:pPr>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汇报场地至少2处，准备室1间独立房间。汇报室配备多媒体设备及录音录像设备，汇报录像时时同步至教师观摩室的大屏幕。与前面要一致。</w:t>
      </w:r>
    </w:p>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九、技术规范</w:t>
      </w:r>
    </w:p>
    <w:p>
      <w:pPr>
        <w:pStyle w:val="19"/>
        <w:spacing w:line="560" w:lineRule="exact"/>
        <w:ind w:firstLine="560" w:firstLineChars="200"/>
        <w:jc w:val="both"/>
        <w:rPr>
          <w:rFonts w:ascii="仿宋_GB2312" w:eastAsia="仿宋_GB2312"/>
          <w:color w:val="000000" w:themeColor="text1"/>
          <w:kern w:val="2"/>
          <w:sz w:val="28"/>
          <w:szCs w:val="28"/>
          <w14:textFill>
            <w14:solidFill>
              <w14:schemeClr w14:val="tx1"/>
            </w14:solidFill>
          </w14:textFill>
        </w:rPr>
      </w:pPr>
      <w:r>
        <w:rPr>
          <w:rFonts w:hint="eastAsia" w:ascii="仿宋_GB2312" w:eastAsia="仿宋_GB2312"/>
          <w:color w:val="000000" w:themeColor="text1"/>
          <w:kern w:val="2"/>
          <w:sz w:val="28"/>
          <w:szCs w:val="28"/>
          <w14:textFill>
            <w14:solidFill>
              <w14:schemeClr w14:val="tx1"/>
            </w14:solidFill>
          </w14:textFill>
        </w:rPr>
        <w:t>教学标准：《国家高等职业市场营销专业教学资源库》</w:t>
      </w:r>
    </w:p>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十、技术平台</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3 </w:t>
      </w:r>
      <w:r>
        <w:rPr>
          <w:rFonts w:hint="eastAsia" w:ascii="仿宋_GB2312" w:eastAsia="仿宋_GB2312"/>
          <w:sz w:val="24"/>
          <w:szCs w:val="24"/>
        </w:rPr>
        <w:t>竞赛技术平台软硬件信息</w:t>
      </w:r>
    </w:p>
    <w:tbl>
      <w:tblPr>
        <w:tblStyle w:val="13"/>
        <w:tblW w:w="83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14"/>
        <w:gridCol w:w="6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2014" w:type="dxa"/>
            <w:shd w:val="clear" w:color="auto" w:fill="auto"/>
            <w:vAlign w:val="center"/>
          </w:tcPr>
          <w:p>
            <w:pPr>
              <w:snapToGrid w:val="0"/>
              <w:jc w:val="center"/>
              <w:rPr>
                <w:rFonts w:ascii="仿宋_GB2312" w:hAnsi="Times New Roman" w:eastAsia="仿宋_GB2312"/>
                <w:b/>
                <w:sz w:val="24"/>
                <w:szCs w:val="24"/>
              </w:rPr>
            </w:pPr>
            <w:r>
              <w:rPr>
                <w:rFonts w:hint="eastAsia" w:ascii="仿宋_GB2312" w:hAnsi="Times New Roman" w:eastAsia="仿宋_GB2312"/>
                <w:b/>
                <w:sz w:val="24"/>
                <w:szCs w:val="24"/>
              </w:rPr>
              <w:t>品名</w:t>
            </w:r>
          </w:p>
        </w:tc>
        <w:tc>
          <w:tcPr>
            <w:tcW w:w="6350" w:type="dxa"/>
            <w:shd w:val="clear" w:color="auto" w:fill="auto"/>
            <w:vAlign w:val="center"/>
          </w:tcPr>
          <w:p>
            <w:pPr>
              <w:snapToGrid w:val="0"/>
              <w:jc w:val="center"/>
              <w:rPr>
                <w:rFonts w:ascii="仿宋_GB2312" w:hAnsi="Times New Roman" w:eastAsia="仿宋_GB2312"/>
                <w:b/>
                <w:sz w:val="24"/>
                <w:szCs w:val="24"/>
              </w:rPr>
            </w:pPr>
            <w:r>
              <w:rPr>
                <w:rFonts w:hint="eastAsia" w:ascii="仿宋_GB2312" w:hAnsi="Times New Roman" w:eastAsia="仿宋_GB2312"/>
                <w:b/>
                <w:sz w:val="24"/>
                <w:szCs w:val="24"/>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jc w:val="center"/>
        </w:trPr>
        <w:tc>
          <w:tcPr>
            <w:tcW w:w="2014" w:type="dxa"/>
            <w:vAlign w:val="center"/>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竞赛技术平台</w:t>
            </w:r>
          </w:p>
        </w:tc>
        <w:tc>
          <w:tcPr>
            <w:tcW w:w="6350" w:type="dxa"/>
            <w:vAlign w:val="center"/>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中教畅享(北京)科技有限公司市场营销综合实训与竞赛系统（4.0版）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jc w:val="center"/>
        </w:trPr>
        <w:tc>
          <w:tcPr>
            <w:tcW w:w="2014" w:type="dxa"/>
            <w:vAlign w:val="center"/>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竞赛服务器</w:t>
            </w:r>
          </w:p>
        </w:tc>
        <w:tc>
          <w:tcPr>
            <w:tcW w:w="6350" w:type="dxa"/>
            <w:vAlign w:val="center"/>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CPU：2颗Quad Core(四核) 2.0G以上；内存：8GB以上；硬盘：500G以上；网卡：千兆网卡；操作系统：Windows Server2008 R2，安装IIS 7.0及以上版本；数据库：Microsoft SQL Server 2005企业版。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2014" w:type="dxa"/>
            <w:vAlign w:val="center"/>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参赛选手计算机</w:t>
            </w:r>
          </w:p>
        </w:tc>
        <w:tc>
          <w:tcPr>
            <w:tcW w:w="6350" w:type="dxa"/>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CPU：酷睿I5 双核3.0以上；内存：4G以上；硬盘：500G以上；网卡：千兆网卡；操作系统：Microsoft Windows7及以上操作系统，office 2010, Internet Explorer8.0、Firefox浏览器、谷歌浏览器，预装qq拼音、搜狗拼音、五笔、微软拼音等中文输入法和英文输入法。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0" w:hRule="atLeast"/>
          <w:jc w:val="center"/>
        </w:trPr>
        <w:tc>
          <w:tcPr>
            <w:tcW w:w="2014" w:type="dxa"/>
            <w:vAlign w:val="center"/>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网络连接设备</w:t>
            </w:r>
          </w:p>
        </w:tc>
        <w:tc>
          <w:tcPr>
            <w:tcW w:w="6350" w:type="dxa"/>
            <w:vAlign w:val="center"/>
          </w:tcPr>
          <w:p>
            <w:pPr>
              <w:snapToGrid w:val="0"/>
              <w:jc w:val="left"/>
              <w:rPr>
                <w:rFonts w:ascii="仿宋_GB2312" w:hAnsi="Times New Roman" w:eastAsia="仿宋_GB2312"/>
                <w:sz w:val="24"/>
                <w:szCs w:val="24"/>
              </w:rPr>
            </w:pPr>
            <w:r>
              <w:rPr>
                <w:rFonts w:hint="eastAsia" w:ascii="仿宋_GB2312" w:hAnsi="Times New Roman" w:eastAsia="仿宋_GB2312"/>
                <w:sz w:val="24"/>
                <w:szCs w:val="24"/>
              </w:rPr>
              <w:t>提供网络布线、交换机。</w:t>
            </w:r>
          </w:p>
        </w:tc>
      </w:tr>
    </w:tbl>
    <w:p>
      <w:pPr>
        <w:pStyle w:val="19"/>
        <w:spacing w:line="560" w:lineRule="exact"/>
        <w:ind w:firstLine="562" w:firstLineChars="200"/>
        <w:jc w:val="both"/>
        <w:outlineLvl w:val="0"/>
        <w:rPr>
          <w:rFonts w:ascii="仿宋_GB2312" w:hAnsi="黑体" w:eastAsia="仿宋_GB2312" w:cs="OEEEEV+FZHTJW--GB1-0"/>
          <w:b/>
          <w:sz w:val="28"/>
          <w:szCs w:val="28"/>
        </w:rPr>
      </w:pPr>
      <w:r>
        <w:rPr>
          <w:rFonts w:hint="eastAsia" w:ascii="仿宋_GB2312" w:hAnsi="黑体" w:eastAsia="仿宋_GB2312" w:cs="OEEEEV+FZHTJW--GB1-0"/>
          <w:b/>
          <w:sz w:val="28"/>
          <w:szCs w:val="28"/>
        </w:rPr>
        <w:t>十一、成绩评定</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（一）评分标准</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．营销实战展示（共计</w:t>
      </w:r>
      <w:r>
        <w:rPr>
          <w:rFonts w:ascii="仿宋_GB2312" w:eastAsia="仿宋_GB2312"/>
          <w:sz w:val="28"/>
          <w:szCs w:val="28"/>
        </w:rPr>
        <w:t>15</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4 </w:t>
      </w:r>
      <w:r>
        <w:rPr>
          <w:rFonts w:hint="eastAsia" w:ascii="仿宋_GB2312" w:eastAsia="仿宋_GB2312"/>
          <w:sz w:val="24"/>
          <w:szCs w:val="24"/>
        </w:rPr>
        <w:t>营销实战展示模块评分标准</w:t>
      </w:r>
    </w:p>
    <w:tbl>
      <w:tblPr>
        <w:tblStyle w:val="13"/>
        <w:tblW w:w="8522" w:type="dxa"/>
        <w:jc w:val="center"/>
        <w:tblInd w:w="0" w:type="dxa"/>
        <w:tblLayout w:type="fixed"/>
        <w:tblCellMar>
          <w:top w:w="0" w:type="dxa"/>
          <w:left w:w="108" w:type="dxa"/>
          <w:bottom w:w="0" w:type="dxa"/>
          <w:right w:w="108" w:type="dxa"/>
        </w:tblCellMar>
      </w:tblPr>
      <w:tblGrid>
        <w:gridCol w:w="2660"/>
        <w:gridCol w:w="4536"/>
        <w:gridCol w:w="1326"/>
      </w:tblGrid>
      <w:tr>
        <w:tblPrEx>
          <w:tblLayout w:type="fixed"/>
          <w:tblCellMar>
            <w:top w:w="0" w:type="dxa"/>
            <w:left w:w="108" w:type="dxa"/>
            <w:bottom w:w="0" w:type="dxa"/>
            <w:right w:w="108" w:type="dxa"/>
          </w:tblCellMar>
        </w:tblPrEx>
        <w:trPr>
          <w:trHeight w:val="449" w:hRule="atLeast"/>
          <w:jc w:val="center"/>
        </w:trPr>
        <w:tc>
          <w:tcPr>
            <w:tcW w:w="2660" w:type="dxa"/>
            <w:tcBorders>
              <w:top w:val="single" w:color="000000" w:sz="4" w:space="0"/>
              <w:left w:val="single" w:color="000000" w:sz="4" w:space="0"/>
              <w:bottom w:val="single" w:color="auto" w:sz="4" w:space="0"/>
              <w:right w:val="single" w:color="000000" w:sz="4" w:space="0"/>
            </w:tcBorders>
            <w:vAlign w:val="center"/>
          </w:tcPr>
          <w:p>
            <w:pPr>
              <w:widowControl/>
              <w:snapToGrid w:val="0"/>
              <w:jc w:val="center"/>
              <w:rPr>
                <w:rFonts w:ascii="Times New Roman" w:hAnsi="Times New Roman" w:eastAsia="仿宋_GB2312"/>
                <w:b/>
                <w:sz w:val="24"/>
                <w:szCs w:val="24"/>
              </w:rPr>
            </w:pPr>
            <w:r>
              <w:rPr>
                <w:rFonts w:ascii="Times New Roman" w:hAnsi="Times New Roman" w:eastAsia="仿宋_GB2312"/>
                <w:b/>
                <w:sz w:val="24"/>
                <w:szCs w:val="24"/>
              </w:rPr>
              <w:t>评分标准一级指标</w:t>
            </w:r>
          </w:p>
        </w:tc>
        <w:tc>
          <w:tcPr>
            <w:tcW w:w="453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b/>
                <w:sz w:val="24"/>
                <w:szCs w:val="24"/>
              </w:rPr>
            </w:pPr>
            <w:r>
              <w:rPr>
                <w:rFonts w:ascii="Times New Roman" w:hAnsi="Times New Roman" w:eastAsia="仿宋_GB2312"/>
                <w:b/>
                <w:sz w:val="24"/>
                <w:szCs w:val="24"/>
              </w:rPr>
              <w:t>评分标准二级指标及其分值</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b/>
                <w:sz w:val="24"/>
                <w:szCs w:val="24"/>
              </w:rPr>
            </w:pPr>
            <w:r>
              <w:rPr>
                <w:rFonts w:ascii="Times New Roman" w:hAnsi="Times New Roman" w:eastAsia="仿宋_GB2312"/>
                <w:b/>
                <w:sz w:val="24"/>
                <w:szCs w:val="24"/>
              </w:rPr>
              <w:t>得分</w:t>
            </w:r>
          </w:p>
        </w:tc>
      </w:tr>
      <w:tr>
        <w:tblPrEx>
          <w:tblLayout w:type="fixed"/>
          <w:tblCellMar>
            <w:top w:w="0" w:type="dxa"/>
            <w:left w:w="108" w:type="dxa"/>
            <w:bottom w:w="0" w:type="dxa"/>
            <w:right w:w="108" w:type="dxa"/>
          </w:tblCellMar>
        </w:tblPrEx>
        <w:trPr>
          <w:trHeight w:val="737" w:hRule="atLeast"/>
          <w:jc w:val="center"/>
        </w:trPr>
        <w:tc>
          <w:tcPr>
            <w:tcW w:w="2660"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b/>
                <w:kern w:val="0"/>
                <w:sz w:val="24"/>
                <w:szCs w:val="24"/>
              </w:rPr>
            </w:pPr>
            <w:r>
              <w:rPr>
                <w:rFonts w:ascii="Times New Roman" w:hAnsi="Times New Roman" w:eastAsia="仿宋_GB2312"/>
                <w:b/>
                <w:kern w:val="0"/>
                <w:sz w:val="24"/>
              </w:rPr>
              <w:t>一、方案设计word（8分）</w:t>
            </w: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1．活动策划的基本要素（好2分，一般1分，差0分）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各类典型</w:t>
            </w:r>
            <w:r>
              <w:rPr>
                <w:rFonts w:ascii="Times New Roman" w:hAnsi="Times New Roman" w:eastAsia="仿宋_GB2312"/>
                <w:kern w:val="0"/>
                <w:sz w:val="24"/>
                <w:szCs w:val="24"/>
              </w:rPr>
              <w:t>职业活动的关键任务设计（好2分，一般1分，差0分）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3．活动费用预算（好2分，一般1分，差0分）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4．</w:t>
            </w:r>
            <w:r>
              <w:rPr>
                <w:rFonts w:ascii="Times New Roman" w:hAnsi="Times New Roman" w:eastAsia="仿宋_GB2312"/>
                <w:kern w:val="0"/>
                <w:sz w:val="24"/>
                <w:szCs w:val="24"/>
              </w:rPr>
              <w:t>方案创新性（好2分，一般1分，差0分）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b/>
                <w:kern w:val="0"/>
                <w:sz w:val="24"/>
                <w:szCs w:val="24"/>
              </w:rPr>
            </w:pPr>
            <w:r>
              <w:rPr>
                <w:rFonts w:ascii="Times New Roman" w:hAnsi="Times New Roman" w:eastAsia="仿宋_GB2312"/>
                <w:b/>
                <w:kern w:val="0"/>
                <w:sz w:val="24"/>
              </w:rPr>
              <w:t>二、实施技能ppt（3分）</w:t>
            </w: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5．分工协调（好1分，一般0.5分，差0分）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6．实施过程控制（好1分，一般0.5分，差0分）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7．总结分析（好1分，一般0.5分，差0分）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b/>
                <w:kern w:val="0"/>
                <w:sz w:val="24"/>
              </w:rPr>
            </w:pPr>
            <w:r>
              <w:rPr>
                <w:rFonts w:ascii="Times New Roman" w:hAnsi="Times New Roman" w:eastAsia="仿宋_GB2312"/>
                <w:b/>
                <w:kern w:val="0"/>
                <w:sz w:val="24"/>
              </w:rPr>
              <w:t>三、文案制作水平</w:t>
            </w:r>
          </w:p>
          <w:p>
            <w:pPr>
              <w:widowControl/>
              <w:snapToGrid w:val="0"/>
              <w:jc w:val="center"/>
              <w:rPr>
                <w:rFonts w:ascii="Times New Roman" w:hAnsi="Times New Roman" w:eastAsia="仿宋_GB2312"/>
                <w:b/>
                <w:kern w:val="0"/>
                <w:sz w:val="24"/>
                <w:szCs w:val="24"/>
              </w:rPr>
            </w:pPr>
            <w:r>
              <w:rPr>
                <w:rFonts w:ascii="Times New Roman" w:hAnsi="Times New Roman" w:eastAsia="仿宋_GB2312"/>
                <w:b/>
                <w:kern w:val="0"/>
                <w:sz w:val="24"/>
              </w:rPr>
              <w:t>（1分）</w:t>
            </w: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8．Word制作质量（好0.5分，一般0.3分，差0分）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9．PPT制作质量（好0.5分，一般0.3分，差0分）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b/>
                <w:kern w:val="0"/>
                <w:sz w:val="24"/>
                <w:szCs w:val="24"/>
              </w:rPr>
            </w:pPr>
            <w:r>
              <w:rPr>
                <w:rFonts w:ascii="Times New Roman" w:hAnsi="Times New Roman" w:eastAsia="仿宋_GB2312"/>
                <w:b/>
                <w:kern w:val="0"/>
                <w:sz w:val="24"/>
              </w:rPr>
              <w:t>四、沟通表现及礼仪规范（3分）</w:t>
            </w: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10．团队配合（好1分，一般0.5分，差0分）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11．时间掌控与语言（好1分，一般0.5分，差0分）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b/>
                <w:kern w:val="0"/>
                <w:sz w:val="24"/>
                <w:szCs w:val="24"/>
              </w:rPr>
            </w:pP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12．礼仪与形象（好1分，一般0.5分，差0分）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737" w:hRule="atLeast"/>
          <w:jc w:val="center"/>
        </w:trPr>
        <w:tc>
          <w:tcPr>
            <w:tcW w:w="2660" w:type="dxa"/>
            <w:tcBorders>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b/>
                <w:kern w:val="0"/>
                <w:sz w:val="24"/>
                <w:szCs w:val="24"/>
              </w:rPr>
            </w:pPr>
            <w:r>
              <w:rPr>
                <w:rFonts w:ascii="Times New Roman" w:hAnsi="Times New Roman" w:eastAsia="仿宋_GB2312"/>
                <w:b/>
                <w:kern w:val="0"/>
                <w:sz w:val="24"/>
                <w:szCs w:val="24"/>
              </w:rPr>
              <w:t>五、否定项</w:t>
            </w:r>
          </w:p>
        </w:tc>
        <w:tc>
          <w:tcPr>
            <w:tcW w:w="4536"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rPr>
                <w:rFonts w:ascii="Times New Roman" w:hAnsi="Times New Roman" w:eastAsia="仿宋_GB2312"/>
                <w:kern w:val="0"/>
                <w:sz w:val="24"/>
                <w:szCs w:val="24"/>
              </w:rPr>
            </w:pPr>
            <w:r>
              <w:rPr>
                <w:rFonts w:ascii="Times New Roman" w:hAnsi="Times New Roman" w:eastAsia="仿宋_GB2312"/>
                <w:kern w:val="0"/>
                <w:sz w:val="24"/>
                <w:szCs w:val="24"/>
              </w:rPr>
              <w:t>在文案作品或学生汇报过程中，一旦出现任何学校</w:t>
            </w:r>
            <w:r>
              <w:rPr>
                <w:rFonts w:hint="eastAsia" w:ascii="Times New Roman" w:hAnsi="Times New Roman" w:eastAsia="仿宋_GB2312"/>
                <w:kern w:val="0"/>
                <w:sz w:val="24"/>
                <w:szCs w:val="24"/>
              </w:rPr>
              <w:t>或</w:t>
            </w:r>
            <w:r>
              <w:rPr>
                <w:rFonts w:ascii="Times New Roman" w:hAnsi="Times New Roman" w:eastAsia="仿宋_GB2312"/>
                <w:kern w:val="0"/>
                <w:sz w:val="24"/>
                <w:szCs w:val="24"/>
              </w:rPr>
              <w:t>选手信息，该竞赛模块直接记为零分。</w:t>
            </w:r>
          </w:p>
        </w:tc>
        <w:tc>
          <w:tcPr>
            <w:tcW w:w="1326" w:type="dxa"/>
            <w:tcBorders>
              <w:top w:val="single" w:color="000000" w:sz="4" w:space="0"/>
              <w:left w:val="nil"/>
              <w:bottom w:val="single" w:color="000000" w:sz="4" w:space="0"/>
              <w:right w:val="single" w:color="000000" w:sz="4" w:space="0"/>
            </w:tcBorders>
            <w:vAlign w:val="center"/>
          </w:tcPr>
          <w:p>
            <w:pPr>
              <w:widowControl/>
              <w:snapToGrid w:val="0"/>
              <w:jc w:val="center"/>
              <w:rPr>
                <w:rFonts w:ascii="Times New Roman" w:hAnsi="Times New Roman" w:eastAsia="仿宋_GB2312"/>
                <w:kern w:val="0"/>
                <w:sz w:val="24"/>
                <w:szCs w:val="24"/>
              </w:rPr>
            </w:pPr>
          </w:p>
        </w:tc>
      </w:tr>
    </w:tbl>
    <w:p>
      <w:pPr>
        <w:spacing w:line="560" w:lineRule="exact"/>
        <w:rPr>
          <w:rFonts w:ascii="仿宋_GB2312" w:eastAsia="仿宋_GB2312"/>
          <w:sz w:val="24"/>
          <w:szCs w:val="24"/>
        </w:rPr>
      </w:pPr>
    </w:p>
    <w:p>
      <w:pPr>
        <w:pStyle w:val="2"/>
        <w:ind w:firstLine="210"/>
      </w:pP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．商务数据分析（客观题，</w:t>
      </w:r>
      <w:r>
        <w:rPr>
          <w:rFonts w:ascii="仿宋_GB2312" w:eastAsia="仿宋_GB2312"/>
          <w:sz w:val="28"/>
          <w:szCs w:val="28"/>
        </w:rPr>
        <w:t>15</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5 </w:t>
      </w:r>
      <w:r>
        <w:rPr>
          <w:rFonts w:hint="eastAsia" w:ascii="仿宋_GB2312" w:eastAsia="仿宋_GB2312"/>
          <w:sz w:val="24"/>
          <w:szCs w:val="24"/>
        </w:rPr>
        <w:t>商务数据分析模块评分标准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09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668" w:type="dxa"/>
            <w:vAlign w:val="center"/>
          </w:tcPr>
          <w:p>
            <w:pPr>
              <w:jc w:val="center"/>
              <w:rPr>
                <w:rFonts w:ascii="仿宋_GB2312" w:eastAsia="仿宋_GB2312"/>
                <w:b/>
                <w:sz w:val="24"/>
                <w:szCs w:val="24"/>
              </w:rPr>
            </w:pPr>
            <w:r>
              <w:rPr>
                <w:rFonts w:hint="eastAsia" w:ascii="仿宋_GB2312" w:eastAsia="仿宋_GB2312"/>
                <w:b/>
                <w:sz w:val="24"/>
                <w:szCs w:val="24"/>
              </w:rPr>
              <w:t>竞赛内容</w:t>
            </w:r>
          </w:p>
        </w:tc>
        <w:tc>
          <w:tcPr>
            <w:tcW w:w="6095" w:type="dxa"/>
            <w:vAlign w:val="center"/>
          </w:tcPr>
          <w:p>
            <w:pPr>
              <w:jc w:val="center"/>
              <w:rPr>
                <w:rFonts w:ascii="仿宋_GB2312" w:eastAsia="仿宋_GB2312"/>
                <w:b/>
                <w:sz w:val="24"/>
                <w:szCs w:val="24"/>
              </w:rPr>
            </w:pPr>
            <w:r>
              <w:rPr>
                <w:rFonts w:hint="eastAsia" w:ascii="仿宋_GB2312" w:eastAsia="仿宋_GB2312"/>
                <w:b/>
                <w:sz w:val="24"/>
                <w:szCs w:val="24"/>
              </w:rPr>
              <w:t>评分标准</w:t>
            </w:r>
          </w:p>
        </w:tc>
        <w:tc>
          <w:tcPr>
            <w:tcW w:w="759" w:type="dxa"/>
            <w:vAlign w:val="center"/>
          </w:tcPr>
          <w:p>
            <w:pPr>
              <w:jc w:val="center"/>
              <w:rPr>
                <w:rFonts w:ascii="仿宋_GB2312" w:eastAsia="仿宋_GB2312"/>
                <w:b/>
                <w:sz w:val="24"/>
                <w:szCs w:val="24"/>
              </w:rPr>
            </w:pPr>
            <w:r>
              <w:rPr>
                <w:rFonts w:hint="eastAsia" w:ascii="仿宋_GB2312" w:eastAsia="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9" w:hRule="atLeast"/>
        </w:trPr>
        <w:tc>
          <w:tcPr>
            <w:tcW w:w="1668" w:type="dxa"/>
            <w:vAlign w:val="center"/>
          </w:tcPr>
          <w:p>
            <w:pPr>
              <w:jc w:val="center"/>
              <w:rPr>
                <w:rFonts w:ascii="仿宋_GB2312" w:eastAsia="仿宋_GB2312"/>
                <w:sz w:val="24"/>
                <w:szCs w:val="24"/>
              </w:rPr>
            </w:pPr>
            <w:r>
              <w:rPr>
                <w:rFonts w:hint="eastAsia" w:ascii="仿宋_GB2312" w:eastAsia="仿宋_GB2312"/>
                <w:sz w:val="24"/>
                <w:szCs w:val="24"/>
              </w:rPr>
              <w:t>商务数据统计</w:t>
            </w:r>
          </w:p>
        </w:tc>
        <w:tc>
          <w:tcPr>
            <w:tcW w:w="6095" w:type="dxa"/>
            <w:vAlign w:val="center"/>
          </w:tcPr>
          <w:p>
            <w:pPr>
              <w:jc w:val="center"/>
              <w:rPr>
                <w:rFonts w:ascii="仿宋_GB2312" w:eastAsia="仿宋_GB2312"/>
                <w:sz w:val="24"/>
                <w:szCs w:val="24"/>
              </w:rPr>
            </w:pPr>
            <w:r>
              <w:rPr>
                <w:rFonts w:hint="eastAsia" w:ascii="仿宋_GB2312" w:eastAsia="仿宋_GB2312"/>
                <w:sz w:val="24"/>
                <w:szCs w:val="24"/>
              </w:rPr>
              <w:t>填空题，每题</w:t>
            </w:r>
            <w:r>
              <w:rPr>
                <w:rFonts w:ascii="仿宋_GB2312" w:eastAsia="仿宋_GB2312"/>
                <w:sz w:val="24"/>
                <w:szCs w:val="24"/>
              </w:rPr>
              <w:t>0.5</w:t>
            </w:r>
            <w:r>
              <w:rPr>
                <w:rFonts w:hint="eastAsia" w:ascii="仿宋_GB2312" w:eastAsia="仿宋_GB2312"/>
                <w:sz w:val="24"/>
                <w:szCs w:val="24"/>
              </w:rPr>
              <w:t>分。</w:t>
            </w:r>
          </w:p>
        </w:tc>
        <w:tc>
          <w:tcPr>
            <w:tcW w:w="759" w:type="dxa"/>
            <w:vAlign w:val="center"/>
          </w:tcPr>
          <w:p>
            <w:pPr>
              <w:jc w:val="center"/>
              <w:rPr>
                <w:rFonts w:ascii="仿宋_GB2312" w:eastAsia="仿宋_GB2312"/>
                <w:sz w:val="24"/>
                <w:szCs w:val="24"/>
              </w:rPr>
            </w:pPr>
            <w:r>
              <w:rPr>
                <w:rFonts w:ascii="仿宋_GB2312" w:eastAsia="仿宋_GB2312"/>
                <w:sz w:val="24"/>
                <w:szCs w:val="24"/>
              </w:rPr>
              <w:t>10</w:t>
            </w:r>
            <w:r>
              <w:rPr>
                <w:rFonts w:hint="eastAsia" w:ascii="仿宋_GB2312"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668" w:type="dxa"/>
            <w:vAlign w:val="center"/>
          </w:tcPr>
          <w:p>
            <w:pPr>
              <w:jc w:val="center"/>
              <w:rPr>
                <w:rFonts w:ascii="仿宋_GB2312" w:eastAsia="仿宋_GB2312"/>
                <w:sz w:val="24"/>
                <w:szCs w:val="24"/>
              </w:rPr>
            </w:pPr>
            <w:r>
              <w:rPr>
                <w:rFonts w:hint="eastAsia" w:ascii="仿宋_GB2312" w:eastAsia="仿宋_GB2312"/>
                <w:sz w:val="24"/>
                <w:szCs w:val="24"/>
              </w:rPr>
              <w:t>数据整理与制图</w:t>
            </w:r>
          </w:p>
        </w:tc>
        <w:tc>
          <w:tcPr>
            <w:tcW w:w="6095" w:type="dxa"/>
            <w:vAlign w:val="center"/>
          </w:tcPr>
          <w:p>
            <w:pPr>
              <w:jc w:val="left"/>
              <w:rPr>
                <w:rFonts w:ascii="仿宋_GB2312" w:eastAsia="仿宋_GB2312"/>
                <w:sz w:val="24"/>
                <w:szCs w:val="24"/>
              </w:rPr>
            </w:pPr>
            <w:r>
              <w:rPr>
                <w:rFonts w:hint="eastAsia" w:ascii="仿宋_GB2312" w:eastAsia="仿宋_GB2312"/>
                <w:sz w:val="24"/>
                <w:szCs w:val="24"/>
              </w:rPr>
              <w:t>客观题，评分点包括图表类型、标题内容的准确性、图例项位置及内容的准确性、数据标签位置及数值的准确性、横纵坐标位置及内容的准确性、横纵坐标轴的使用、分类标签的使用、刻度轴的使用。</w:t>
            </w:r>
          </w:p>
        </w:tc>
        <w:tc>
          <w:tcPr>
            <w:tcW w:w="759" w:type="dxa"/>
            <w:vAlign w:val="center"/>
          </w:tcPr>
          <w:p>
            <w:pPr>
              <w:jc w:val="center"/>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分</w:t>
            </w:r>
          </w:p>
        </w:tc>
      </w:tr>
    </w:tbl>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．情境营销（客观题，</w:t>
      </w:r>
      <w:r>
        <w:rPr>
          <w:rFonts w:ascii="仿宋_GB2312" w:eastAsia="仿宋_GB2312"/>
          <w:sz w:val="28"/>
          <w:szCs w:val="28"/>
        </w:rPr>
        <w:t>70</w:t>
      </w:r>
      <w:r>
        <w:rPr>
          <w:rFonts w:hint="eastAsia" w:ascii="仿宋_GB2312" w:eastAsia="仿宋_GB2312"/>
          <w:sz w:val="28"/>
          <w:szCs w:val="28"/>
        </w:rPr>
        <w:t>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情境营销模块全程录屏。每个赛场各队经营三个会计年度关帐后，软件自动生成成绩，成绩=所有者权益* (1+企业综合总分/100)。中途破产的队伍按照破产先后顺序进行排序，如果在同一节点破产，则比较所有者权益。根据各队成绩排序，第一名70分，按照名次递减3分，第二名67分，依次类推。同时，裁判将审核录屏，一旦发现参赛团队有违规操作行为，则该模块记为0分。</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（二）评分方法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评分方式为</w:t>
      </w:r>
      <w:r>
        <w:rPr>
          <w:rFonts w:hint="eastAsia" w:ascii="仿宋_GB2312" w:hAnsi="仿宋_GB2312" w:eastAsia="仿宋_GB2312" w:cs="仿宋_GB2312"/>
          <w:sz w:val="28"/>
          <w:szCs w:val="28"/>
        </w:rPr>
        <w:t>机考评分与评分裁判评分</w:t>
      </w:r>
      <w:r>
        <w:rPr>
          <w:rFonts w:hint="eastAsia" w:ascii="仿宋_GB2312" w:eastAsia="仿宋_GB2312"/>
          <w:sz w:val="28"/>
          <w:szCs w:val="28"/>
        </w:rPr>
        <w:t>。评分裁判依据评分方式的既定要求完成成绩评定工作，填写相应的评分表格后签字确认。记分员负责在监督人员监督下完成统分工作，统分表需由记分员、裁判长、监督组成员共同签字确认。统分后，记分员负责在监督人员监督下完成汇总计分工作，汇总计分表。成绩汇总结束后，应由加密裁判对汇总成绩进行还原，形成竞赛队最终成绩单。在正式公布比赛成绩之前，任何人员不得随意泄露过程评分和结果评分的评分结果。</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6 </w:t>
      </w:r>
      <w:r>
        <w:rPr>
          <w:rFonts w:hint="eastAsia" w:ascii="仿宋_GB2312" w:eastAsia="仿宋_GB2312"/>
          <w:sz w:val="24"/>
          <w:szCs w:val="24"/>
        </w:rPr>
        <w:t>评分方法</w:t>
      </w:r>
    </w:p>
    <w:tbl>
      <w:tblPr>
        <w:tblStyle w:val="13"/>
        <w:tblW w:w="8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833"/>
        <w:gridCol w:w="3504"/>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3"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比赛内容</w:t>
            </w:r>
          </w:p>
        </w:tc>
        <w:tc>
          <w:tcPr>
            <w:tcW w:w="833"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分值</w:t>
            </w:r>
          </w:p>
        </w:tc>
        <w:tc>
          <w:tcPr>
            <w:tcW w:w="3504"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评分方法</w:t>
            </w:r>
          </w:p>
        </w:tc>
        <w:tc>
          <w:tcPr>
            <w:tcW w:w="216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审核方法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3"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商务数据分析</w:t>
            </w:r>
          </w:p>
        </w:tc>
        <w:tc>
          <w:tcPr>
            <w:tcW w:w="833"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w:t>
            </w:r>
          </w:p>
        </w:tc>
        <w:tc>
          <w:tcPr>
            <w:tcW w:w="3504"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填空题为机考评分，软件自动评分，制图题为客观结果评分，评分裁判评分</w:t>
            </w:r>
          </w:p>
        </w:tc>
        <w:tc>
          <w:tcPr>
            <w:tcW w:w="216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评分裁判、监督、仲裁签字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3"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营销实战</w:t>
            </w:r>
          </w:p>
        </w:tc>
        <w:tc>
          <w:tcPr>
            <w:tcW w:w="833"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w:t>
            </w:r>
          </w:p>
        </w:tc>
        <w:tc>
          <w:tcPr>
            <w:tcW w:w="3504"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主观结果评分，由5名评分裁判根据评分标准进行评分，去掉一个最高分和一个最低分后取平均值</w:t>
            </w:r>
          </w:p>
        </w:tc>
        <w:tc>
          <w:tcPr>
            <w:tcW w:w="216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评分裁判、监督、仲裁签字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3"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情境营销</w:t>
            </w:r>
          </w:p>
        </w:tc>
        <w:tc>
          <w:tcPr>
            <w:tcW w:w="833"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70</w:t>
            </w:r>
          </w:p>
        </w:tc>
        <w:tc>
          <w:tcPr>
            <w:tcW w:w="3504"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机考评分</w:t>
            </w:r>
          </w:p>
        </w:tc>
        <w:tc>
          <w:tcPr>
            <w:tcW w:w="216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参赛选手、现场裁判、裁判长、监督、仲裁签字</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赛项最终得分按</w:t>
      </w:r>
      <w:r>
        <w:rPr>
          <w:rFonts w:ascii="仿宋_GB2312" w:eastAsia="仿宋_GB2312"/>
          <w:sz w:val="28"/>
          <w:szCs w:val="28"/>
        </w:rPr>
        <w:t>100</w:t>
      </w:r>
      <w:r>
        <w:rPr>
          <w:rFonts w:hint="eastAsia" w:ascii="仿宋_GB2312" w:eastAsia="仿宋_GB2312"/>
          <w:sz w:val="28"/>
          <w:szCs w:val="28"/>
        </w:rPr>
        <w:t>分制计分。</w:t>
      </w:r>
      <w:r>
        <w:rPr>
          <w:rFonts w:hint="eastAsia" w:ascii="仿宋_GB2312" w:eastAsia="仿宋_GB2312"/>
          <w:bCs/>
          <w:sz w:val="28"/>
          <w:szCs w:val="28"/>
        </w:rPr>
        <w:t>最终成绩经复核无误，由裁判长、监督人员和仲裁人员签字确认后公布</w:t>
      </w:r>
      <w:r>
        <w:rPr>
          <w:rFonts w:hint="eastAsia" w:ascii="仿宋_GB2312" w:eastAsia="仿宋_GB2312"/>
          <w:bCs/>
          <w:color w:val="000000" w:themeColor="text1"/>
          <w:sz w:val="28"/>
          <w:szCs w:val="28"/>
          <w14:textFill>
            <w14:solidFill>
              <w14:schemeClr w14:val="tx1"/>
            </w14:solidFill>
          </w14:textFill>
        </w:rPr>
        <w:t>，并以大赛组委会公示为准。</w:t>
      </w:r>
    </w:p>
    <w:p>
      <w:pPr>
        <w:spacing w:line="560" w:lineRule="exact"/>
        <w:ind w:firstLine="562" w:firstLineChars="200"/>
        <w:rPr>
          <w:rFonts w:ascii="仿宋_GB2312" w:hAnsi="黑体" w:eastAsia="仿宋_GB2312" w:cs="OEEEEV+FZHTJW--GB1-0"/>
          <w:b/>
          <w:sz w:val="28"/>
          <w:szCs w:val="28"/>
        </w:rPr>
      </w:pPr>
      <w:r>
        <w:rPr>
          <w:rFonts w:hint="eastAsia" w:ascii="仿宋_GB2312" w:hAnsi="黑体" w:eastAsia="仿宋_GB2312" w:cs="OEEEEV+FZHTJW--GB1-0"/>
          <w:b/>
          <w:sz w:val="28"/>
          <w:szCs w:val="28"/>
        </w:rPr>
        <w:t>十二、奖项设定</w:t>
      </w:r>
    </w:p>
    <w:p>
      <w:pPr>
        <w:spacing w:line="560" w:lineRule="exact"/>
        <w:ind w:firstLine="560"/>
        <w:rPr>
          <w:rFonts w:ascii="仿宋_GB2312" w:hAnsi="仿宋" w:eastAsia="仿宋_GB2312"/>
          <w:color w:val="000000"/>
          <w:sz w:val="30"/>
          <w:szCs w:val="30"/>
        </w:rPr>
      </w:pPr>
      <w:r>
        <w:rPr>
          <w:rFonts w:hint="eastAsia" w:ascii="仿宋_GB2312" w:hAnsi="仿宋" w:eastAsia="仿宋_GB2312"/>
          <w:color w:val="000000"/>
          <w:sz w:val="30"/>
          <w:szCs w:val="30"/>
        </w:rPr>
        <w:t>本赛项的奖项设定按2019年福建省职业技能大赛组委会的相关规定执行。</w:t>
      </w:r>
    </w:p>
    <w:p>
      <w:pPr>
        <w:pStyle w:val="19"/>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十三、申诉与仲裁</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1.福建省职业院校技能大赛设仲裁工作委员会，赛点设仲裁工作组,组长由大赛组委会办公室指派，组员为赛项裁判长和赛点执委会主任。</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3.提出申诉应在赛项比赛结束后1小时内向赛点仲裁组提出。超过时效不予受理。提出申诉后申诉人及相关涉及人员不得离开赛点，否则视为自行放弃申诉。</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4.赛点仲裁工作组在接到申诉报告后的2小时内组织复议，并及时将复议结果以书面形式告知申诉方。</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5.对赛点仲裁组复议结果不服的，可由代表队所在院校校级领导向大赛仲裁委员会提出申诉。大赛仲裁委员会的仲裁结果为最终结果。</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6.申诉方不得以任何理由拒绝接收仲裁结果；不得以任何理由采取过激行为扰乱赛场秩序；仲裁结果由申诉人签收，不能代收；如在约定时间和地点申诉人离开，视为撤诉。</w:t>
      </w:r>
    </w:p>
    <w:p>
      <w:pPr>
        <w:spacing w:line="560" w:lineRule="exact"/>
        <w:ind w:firstLine="56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7.申诉方可随时提出放弃申诉。</w:t>
      </w:r>
    </w:p>
    <w:p>
      <w:pPr>
        <w:spacing w:line="560" w:lineRule="exact"/>
        <w:ind w:firstLine="562" w:firstLineChars="200"/>
        <w:rPr>
          <w:rFonts w:ascii="仿宋_GB2312" w:hAnsi="黑体" w:eastAsia="仿宋_GB2312" w:cs="OEEEEV+FZHTJW--GB1-0"/>
          <w:b/>
          <w:color w:val="211D1E"/>
          <w:kern w:val="0"/>
          <w:sz w:val="28"/>
          <w:szCs w:val="28"/>
        </w:rPr>
      </w:pPr>
      <w:r>
        <w:rPr>
          <w:rFonts w:hint="eastAsia" w:ascii="仿宋_GB2312" w:hAnsi="黑体" w:eastAsia="仿宋_GB2312" w:cs="OEEEEV+FZHTJW--GB1-0"/>
          <w:b/>
          <w:color w:val="211D1E"/>
          <w:kern w:val="0"/>
          <w:sz w:val="28"/>
          <w:szCs w:val="28"/>
        </w:rPr>
        <w:t>十四、竞赛观摩</w:t>
      </w:r>
    </w:p>
    <w:p>
      <w:pPr>
        <w:spacing w:line="560" w:lineRule="exact"/>
        <w:ind w:firstLine="560" w:firstLineChars="200"/>
        <w:rPr>
          <w:rFonts w:ascii="仿宋_GB2312" w:hAnsi="仿宋" w:eastAsia="仿宋_GB2312" w:cs="仿宋"/>
          <w:color w:val="000000"/>
          <w:sz w:val="28"/>
          <w:szCs w:val="28"/>
        </w:rPr>
      </w:pPr>
      <w:r>
        <w:rPr>
          <w:rFonts w:hint="eastAsia" w:ascii="仿宋_GB2312" w:hAnsi="仿宋" w:eastAsia="仿宋_GB2312" w:cs="宋体"/>
          <w:bCs/>
          <w:kern w:val="0"/>
          <w:sz w:val="28"/>
          <w:szCs w:val="28"/>
        </w:rPr>
        <w:t>大赛坚持公开、透明办赛的原则，比赛的全过程将采用视频直播的方式进行公开，各校指导教师与领队可在指定区域进行视频观摩。</w:t>
      </w:r>
    </w:p>
    <w:p>
      <w:pPr>
        <w:spacing w:line="560" w:lineRule="exact"/>
        <w:ind w:firstLine="562" w:firstLineChars="200"/>
        <w:rPr>
          <w:rFonts w:ascii="仿宋_GB2312" w:hAnsi="黑体" w:eastAsia="仿宋_GB2312" w:cs="OEEEEV+FZHTJW--GB1-0"/>
          <w:b/>
          <w:color w:val="211D1E"/>
          <w:kern w:val="0"/>
          <w:sz w:val="28"/>
          <w:szCs w:val="28"/>
        </w:rPr>
      </w:pPr>
      <w:r>
        <w:rPr>
          <w:rFonts w:hint="eastAsia" w:ascii="仿宋_GB2312" w:hAnsi="黑体" w:eastAsia="仿宋_GB2312" w:cs="OEEEEV+FZHTJW--GB1-0"/>
          <w:b/>
          <w:color w:val="211D1E"/>
          <w:kern w:val="0"/>
          <w:sz w:val="28"/>
          <w:szCs w:val="28"/>
        </w:rPr>
        <w:t>十五、竞赛视频</w:t>
      </w:r>
    </w:p>
    <w:p>
      <w:pPr>
        <w:spacing w:line="560" w:lineRule="exact"/>
        <w:ind w:firstLine="560"/>
        <w:rPr>
          <w:rFonts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比赛过程全程监控。</w:t>
      </w:r>
    </w:p>
    <w:p>
      <w:pPr>
        <w:pStyle w:val="19"/>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十六、竞赛须知</w:t>
      </w:r>
    </w:p>
    <w:p>
      <w:pPr>
        <w:spacing w:line="560" w:lineRule="exact"/>
        <w:ind w:firstLine="420" w:firstLineChars="150"/>
        <w:outlineLvl w:val="1"/>
        <w:rPr>
          <w:rFonts w:ascii="仿宋_GB2312" w:eastAsia="仿宋_GB2312"/>
          <w:sz w:val="28"/>
          <w:szCs w:val="28"/>
          <w:lang w:val="zh-CN"/>
        </w:rPr>
      </w:pPr>
      <w:r>
        <w:rPr>
          <w:rFonts w:hint="eastAsia" w:ascii="仿宋_GB2312" w:eastAsia="仿宋_GB2312"/>
          <w:sz w:val="28"/>
          <w:szCs w:val="28"/>
          <w:lang w:val="zh-CN"/>
        </w:rPr>
        <w:t>（一）参赛队须知</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．参赛队名称统一使用规定的学院名称，不使用其他组织、团体名称；不接受跨校组队报名。</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．参赛队按照大赛赛程安排，凭大赛组委会颁发的参赛证和有效身份证件参加比赛及相关活动。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3．参赛队员需要购买保险。</w:t>
      </w:r>
    </w:p>
    <w:p>
      <w:pPr>
        <w:spacing w:line="560" w:lineRule="exact"/>
        <w:ind w:firstLine="420" w:firstLineChars="150"/>
        <w:outlineLvl w:val="1"/>
        <w:rPr>
          <w:rFonts w:ascii="仿宋_GB2312" w:eastAsia="仿宋_GB2312"/>
          <w:sz w:val="28"/>
          <w:szCs w:val="28"/>
          <w:lang w:val="zh-CN"/>
        </w:rPr>
      </w:pPr>
      <w:r>
        <w:rPr>
          <w:rFonts w:hint="eastAsia" w:ascii="仿宋_GB2312" w:eastAsia="仿宋_GB2312"/>
          <w:sz w:val="28"/>
          <w:szCs w:val="28"/>
          <w:lang w:val="zh-CN"/>
        </w:rPr>
        <w:t>（二）指导教师须知</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．各参赛代表队要发扬良好道德风尚，听从指挥，服从裁判，不弄虚作假。如发现弄虚作假者，取消参赛资格，名次无效。</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．各代表队领队要坚决执行竞赛的各项规定，加强对参赛人员的管理，做好赛前准备工作，督促选手带好证件等竞赛相关材料。</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．竞赛过程中，除参加当场次竞赛的选手、执行裁判员、现场工作人员和经批准的人员外，领队、指导教师及其他人员一律不得进入竞赛现场。</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．参赛代表队若对竞赛过程有异议，在规定的时间内由领队向赛项仲裁工作组提出书面报告。</w:t>
      </w:r>
    </w:p>
    <w:p>
      <w:pPr>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．指导老师应及时查看有关赛项的通知和内容，掌握本赛项竞赛的规程、技术规范和赛场要求，指导选手做好赛前的一切技术准备和竞赛准备。</w:t>
      </w:r>
    </w:p>
    <w:p>
      <w:pPr>
        <w:spacing w:line="560" w:lineRule="exact"/>
        <w:ind w:firstLine="420" w:firstLineChars="150"/>
        <w:outlineLvl w:val="1"/>
        <w:rPr>
          <w:rFonts w:ascii="仿宋_GB2312" w:eastAsia="仿宋_GB2312"/>
          <w:sz w:val="28"/>
          <w:szCs w:val="28"/>
          <w:lang w:val="zh-CN"/>
        </w:rPr>
      </w:pPr>
      <w:r>
        <w:rPr>
          <w:rFonts w:hint="eastAsia" w:ascii="仿宋_GB2312" w:eastAsia="仿宋_GB2312"/>
          <w:sz w:val="28"/>
          <w:szCs w:val="28"/>
          <w:lang w:val="zh-CN"/>
        </w:rPr>
        <w:t>（三）参赛选手须知</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．参赛选手应按有关要求如实填报个人信息，否则取消竞赛资格。</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．参赛选手凭统一印制的参赛证和有效身份证件参加竞赛。</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．参赛选手应认真学习领会本次竞赛相关文件，自觉遵守大赛纪律，服从指挥，听从安排，文明参赛。</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．参赛选手请勿携带与竞赛无关的电子设备、通讯设备及其他资料与用品。</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．参赛选手应提前</w:t>
      </w:r>
      <w:r>
        <w:rPr>
          <w:rFonts w:ascii="仿宋_GB2312" w:eastAsia="仿宋_GB2312"/>
          <w:sz w:val="28"/>
          <w:szCs w:val="28"/>
        </w:rPr>
        <w:t>15</w:t>
      </w:r>
      <w:r>
        <w:rPr>
          <w:rFonts w:hint="eastAsia" w:ascii="仿宋_GB2312" w:eastAsia="仿宋_GB2312"/>
          <w:sz w:val="28"/>
          <w:szCs w:val="28"/>
        </w:rPr>
        <w:t>分钟抵达赛场，凭参赛证、身份证件检录，按要求入场，不得迟到早退。</w:t>
      </w:r>
    </w:p>
    <w:p>
      <w:pPr>
        <w:spacing w:line="560" w:lineRule="exact"/>
        <w:ind w:firstLine="560" w:firstLineChars="200"/>
        <w:rPr>
          <w:rFonts w:ascii="仿宋_GB2312" w:eastAsia="仿宋_GB2312"/>
          <w:sz w:val="28"/>
          <w:szCs w:val="28"/>
        </w:rPr>
      </w:pPr>
    </w:p>
    <w:p>
      <w:pPr>
        <w:spacing w:line="560" w:lineRule="exact"/>
        <w:ind w:firstLine="560"/>
        <w:rPr>
          <w:rFonts w:ascii="仿宋_GB2312" w:hAnsi="仿宋" w:eastAsia="仿宋_GB2312"/>
          <w:color w:val="000000"/>
          <w:sz w:val="30"/>
          <w:szCs w:val="30"/>
        </w:rPr>
      </w:pPr>
    </w:p>
    <w:p>
      <w:pPr>
        <w:spacing w:line="560" w:lineRule="exact"/>
        <w:ind w:firstLine="560"/>
        <w:rPr>
          <w:rFonts w:ascii="仿宋_GB2312" w:hAnsi="仿宋" w:eastAsia="仿宋_GB2312"/>
          <w:color w:val="000000"/>
          <w:sz w:val="30"/>
          <w:szCs w:val="30"/>
        </w:rPr>
      </w:pPr>
    </w:p>
    <w:p>
      <w:pPr>
        <w:spacing w:line="560" w:lineRule="exact"/>
        <w:ind w:firstLine="560"/>
        <w:rPr>
          <w:rFonts w:ascii="仿宋_GB2312" w:hAnsi="仿宋" w:eastAsia="仿宋_GB2312"/>
          <w:color w:val="000000"/>
          <w:sz w:val="30"/>
          <w:szCs w:val="30"/>
        </w:rPr>
      </w:pPr>
    </w:p>
    <w:p>
      <w:pPr>
        <w:rPr>
          <w:rFonts w:ascii="仿宋_GB2312" w:eastAsia="仿宋_GB2312"/>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iti SC Light">
    <w:altName w:val="Times New Roman"/>
    <w:panose1 w:val="00000000000000000000"/>
    <w:charset w:val="50"/>
    <w:family w:val="auto"/>
    <w:pitch w:val="default"/>
    <w:sig w:usb0="00000000" w:usb1="00000000" w:usb2="00000000" w:usb3="00000000" w:csb0="00000000" w:csb1="00000000"/>
  </w:font>
  <w:font w:name="OEEEEV+FZHTJW--GB1-0">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PROKST+FZFSJW--GB1-0">
    <w:altName w:val="宋体"/>
    <w:panose1 w:val="00000000000000000000"/>
    <w:charset w:val="86"/>
    <w:family w:val="swiss"/>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22</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Formatting/>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5"/>
    <w:rsid w:val="00000C91"/>
    <w:rsid w:val="0000753A"/>
    <w:rsid w:val="000075BC"/>
    <w:rsid w:val="00007DC8"/>
    <w:rsid w:val="000218E4"/>
    <w:rsid w:val="00024E56"/>
    <w:rsid w:val="00035224"/>
    <w:rsid w:val="0004034E"/>
    <w:rsid w:val="00043BE1"/>
    <w:rsid w:val="00046404"/>
    <w:rsid w:val="00050BCF"/>
    <w:rsid w:val="000513D9"/>
    <w:rsid w:val="000544F9"/>
    <w:rsid w:val="0005730A"/>
    <w:rsid w:val="00060016"/>
    <w:rsid w:val="00060BE9"/>
    <w:rsid w:val="00062E25"/>
    <w:rsid w:val="00063ADC"/>
    <w:rsid w:val="00071381"/>
    <w:rsid w:val="00087360"/>
    <w:rsid w:val="000876A4"/>
    <w:rsid w:val="000903B9"/>
    <w:rsid w:val="00094190"/>
    <w:rsid w:val="00094694"/>
    <w:rsid w:val="00097CAC"/>
    <w:rsid w:val="000A353A"/>
    <w:rsid w:val="000A3FE0"/>
    <w:rsid w:val="000A5C80"/>
    <w:rsid w:val="000A6B4A"/>
    <w:rsid w:val="000B0E2A"/>
    <w:rsid w:val="000B3E86"/>
    <w:rsid w:val="000B4095"/>
    <w:rsid w:val="000B71D3"/>
    <w:rsid w:val="000C6917"/>
    <w:rsid w:val="000D115B"/>
    <w:rsid w:val="000D731A"/>
    <w:rsid w:val="000F49B9"/>
    <w:rsid w:val="000F5735"/>
    <w:rsid w:val="000F672B"/>
    <w:rsid w:val="00100EF9"/>
    <w:rsid w:val="001018A1"/>
    <w:rsid w:val="001045B3"/>
    <w:rsid w:val="00106343"/>
    <w:rsid w:val="00106386"/>
    <w:rsid w:val="0010658D"/>
    <w:rsid w:val="00106FCC"/>
    <w:rsid w:val="00107367"/>
    <w:rsid w:val="00115A54"/>
    <w:rsid w:val="00120A8D"/>
    <w:rsid w:val="00120C98"/>
    <w:rsid w:val="00122031"/>
    <w:rsid w:val="00123A9F"/>
    <w:rsid w:val="00123C24"/>
    <w:rsid w:val="00124BCE"/>
    <w:rsid w:val="00132DE5"/>
    <w:rsid w:val="001350B9"/>
    <w:rsid w:val="001371EE"/>
    <w:rsid w:val="0014072F"/>
    <w:rsid w:val="001420F3"/>
    <w:rsid w:val="001528F3"/>
    <w:rsid w:val="00163A83"/>
    <w:rsid w:val="001714A5"/>
    <w:rsid w:val="001718A4"/>
    <w:rsid w:val="0017197C"/>
    <w:rsid w:val="00171A1A"/>
    <w:rsid w:val="0017240B"/>
    <w:rsid w:val="00177170"/>
    <w:rsid w:val="00182AB9"/>
    <w:rsid w:val="00182B44"/>
    <w:rsid w:val="00183D03"/>
    <w:rsid w:val="00190FF9"/>
    <w:rsid w:val="00194976"/>
    <w:rsid w:val="00195B5F"/>
    <w:rsid w:val="001A2C3D"/>
    <w:rsid w:val="001A6379"/>
    <w:rsid w:val="001B33DE"/>
    <w:rsid w:val="001B5278"/>
    <w:rsid w:val="001B6049"/>
    <w:rsid w:val="001B6F53"/>
    <w:rsid w:val="001C310E"/>
    <w:rsid w:val="001C485D"/>
    <w:rsid w:val="001D36D5"/>
    <w:rsid w:val="001D37F6"/>
    <w:rsid w:val="001D62F2"/>
    <w:rsid w:val="001E2DDF"/>
    <w:rsid w:val="001E5E4C"/>
    <w:rsid w:val="001F275D"/>
    <w:rsid w:val="001F4D32"/>
    <w:rsid w:val="00201092"/>
    <w:rsid w:val="00203715"/>
    <w:rsid w:val="00207917"/>
    <w:rsid w:val="002100F6"/>
    <w:rsid w:val="00216EB2"/>
    <w:rsid w:val="002174B9"/>
    <w:rsid w:val="002269B5"/>
    <w:rsid w:val="00233199"/>
    <w:rsid w:val="00233CB8"/>
    <w:rsid w:val="00237AB4"/>
    <w:rsid w:val="00242302"/>
    <w:rsid w:val="00246781"/>
    <w:rsid w:val="00247B9E"/>
    <w:rsid w:val="00253007"/>
    <w:rsid w:val="00255686"/>
    <w:rsid w:val="002566B0"/>
    <w:rsid w:val="00261C85"/>
    <w:rsid w:val="00263332"/>
    <w:rsid w:val="00266140"/>
    <w:rsid w:val="00267CE4"/>
    <w:rsid w:val="00271194"/>
    <w:rsid w:val="002730BB"/>
    <w:rsid w:val="00275258"/>
    <w:rsid w:val="002821E5"/>
    <w:rsid w:val="00285DE5"/>
    <w:rsid w:val="00292BAB"/>
    <w:rsid w:val="00294525"/>
    <w:rsid w:val="0029548A"/>
    <w:rsid w:val="002A0B2B"/>
    <w:rsid w:val="002A1204"/>
    <w:rsid w:val="002A2E93"/>
    <w:rsid w:val="002B3491"/>
    <w:rsid w:val="002B4167"/>
    <w:rsid w:val="002B55F1"/>
    <w:rsid w:val="002B682D"/>
    <w:rsid w:val="002C77F2"/>
    <w:rsid w:val="002C7917"/>
    <w:rsid w:val="002D4CDF"/>
    <w:rsid w:val="002D56D0"/>
    <w:rsid w:val="002E0F60"/>
    <w:rsid w:val="002E3514"/>
    <w:rsid w:val="002F35A3"/>
    <w:rsid w:val="002F3A4A"/>
    <w:rsid w:val="002F421F"/>
    <w:rsid w:val="002F45A3"/>
    <w:rsid w:val="002F74ED"/>
    <w:rsid w:val="00300E0F"/>
    <w:rsid w:val="0030501E"/>
    <w:rsid w:val="00306DB6"/>
    <w:rsid w:val="003077D3"/>
    <w:rsid w:val="00307E99"/>
    <w:rsid w:val="00310358"/>
    <w:rsid w:val="00313860"/>
    <w:rsid w:val="00313A70"/>
    <w:rsid w:val="003206B4"/>
    <w:rsid w:val="003220DC"/>
    <w:rsid w:val="003268D1"/>
    <w:rsid w:val="00330D18"/>
    <w:rsid w:val="00331CB5"/>
    <w:rsid w:val="003345C8"/>
    <w:rsid w:val="00336E9C"/>
    <w:rsid w:val="00337ACA"/>
    <w:rsid w:val="003419D9"/>
    <w:rsid w:val="0035241F"/>
    <w:rsid w:val="003611B1"/>
    <w:rsid w:val="003670D8"/>
    <w:rsid w:val="0036746B"/>
    <w:rsid w:val="003677C2"/>
    <w:rsid w:val="00367D8A"/>
    <w:rsid w:val="003725EA"/>
    <w:rsid w:val="003744B4"/>
    <w:rsid w:val="0037658B"/>
    <w:rsid w:val="00376D19"/>
    <w:rsid w:val="00376DA7"/>
    <w:rsid w:val="00382CB6"/>
    <w:rsid w:val="00384032"/>
    <w:rsid w:val="003849AA"/>
    <w:rsid w:val="00386EC5"/>
    <w:rsid w:val="0039098F"/>
    <w:rsid w:val="003910FB"/>
    <w:rsid w:val="003939A6"/>
    <w:rsid w:val="0039414C"/>
    <w:rsid w:val="003955D1"/>
    <w:rsid w:val="00396CFE"/>
    <w:rsid w:val="00397210"/>
    <w:rsid w:val="00397278"/>
    <w:rsid w:val="003B2AC7"/>
    <w:rsid w:val="003D0463"/>
    <w:rsid w:val="003D4F11"/>
    <w:rsid w:val="003D617F"/>
    <w:rsid w:val="003D7D1B"/>
    <w:rsid w:val="003E029E"/>
    <w:rsid w:val="003E486F"/>
    <w:rsid w:val="003E5A29"/>
    <w:rsid w:val="003E79C9"/>
    <w:rsid w:val="003E7C13"/>
    <w:rsid w:val="003F0D58"/>
    <w:rsid w:val="003F146B"/>
    <w:rsid w:val="003F2B72"/>
    <w:rsid w:val="003F5084"/>
    <w:rsid w:val="003F5F50"/>
    <w:rsid w:val="00401B59"/>
    <w:rsid w:val="00402707"/>
    <w:rsid w:val="004051CC"/>
    <w:rsid w:val="00407F3D"/>
    <w:rsid w:val="00407FE1"/>
    <w:rsid w:val="00410922"/>
    <w:rsid w:val="00413B4D"/>
    <w:rsid w:val="004158CF"/>
    <w:rsid w:val="00415FB1"/>
    <w:rsid w:val="0042349E"/>
    <w:rsid w:val="004429D9"/>
    <w:rsid w:val="0044304D"/>
    <w:rsid w:val="0044333A"/>
    <w:rsid w:val="00455024"/>
    <w:rsid w:val="00464669"/>
    <w:rsid w:val="00464F74"/>
    <w:rsid w:val="00465353"/>
    <w:rsid w:val="00467010"/>
    <w:rsid w:val="00470419"/>
    <w:rsid w:val="00475C05"/>
    <w:rsid w:val="00483C25"/>
    <w:rsid w:val="0049068D"/>
    <w:rsid w:val="004956B9"/>
    <w:rsid w:val="004A2787"/>
    <w:rsid w:val="004A5478"/>
    <w:rsid w:val="004A6A61"/>
    <w:rsid w:val="004B1A2F"/>
    <w:rsid w:val="004B537C"/>
    <w:rsid w:val="004B55DD"/>
    <w:rsid w:val="004C17E9"/>
    <w:rsid w:val="004C1984"/>
    <w:rsid w:val="004C3A08"/>
    <w:rsid w:val="004C5033"/>
    <w:rsid w:val="004C6B9D"/>
    <w:rsid w:val="004D05B0"/>
    <w:rsid w:val="004D7A7A"/>
    <w:rsid w:val="004E56C5"/>
    <w:rsid w:val="004E602A"/>
    <w:rsid w:val="004E6636"/>
    <w:rsid w:val="004F26CA"/>
    <w:rsid w:val="004F2927"/>
    <w:rsid w:val="004F2A25"/>
    <w:rsid w:val="004F506A"/>
    <w:rsid w:val="004F56F9"/>
    <w:rsid w:val="00502037"/>
    <w:rsid w:val="00504CB6"/>
    <w:rsid w:val="00507C2A"/>
    <w:rsid w:val="0052388D"/>
    <w:rsid w:val="00524106"/>
    <w:rsid w:val="00525BD3"/>
    <w:rsid w:val="00532B3C"/>
    <w:rsid w:val="00532EE1"/>
    <w:rsid w:val="0053442E"/>
    <w:rsid w:val="005424FB"/>
    <w:rsid w:val="005469AC"/>
    <w:rsid w:val="005534F5"/>
    <w:rsid w:val="0055535A"/>
    <w:rsid w:val="005564A7"/>
    <w:rsid w:val="00563519"/>
    <w:rsid w:val="00565442"/>
    <w:rsid w:val="00565CE4"/>
    <w:rsid w:val="00566764"/>
    <w:rsid w:val="00567A46"/>
    <w:rsid w:val="00580A7A"/>
    <w:rsid w:val="005828A5"/>
    <w:rsid w:val="00583033"/>
    <w:rsid w:val="005862C0"/>
    <w:rsid w:val="00591466"/>
    <w:rsid w:val="00595228"/>
    <w:rsid w:val="005A341F"/>
    <w:rsid w:val="005A534D"/>
    <w:rsid w:val="005A7D81"/>
    <w:rsid w:val="005B7ABB"/>
    <w:rsid w:val="005C095A"/>
    <w:rsid w:val="005C702E"/>
    <w:rsid w:val="005C78BB"/>
    <w:rsid w:val="005D2018"/>
    <w:rsid w:val="005D6335"/>
    <w:rsid w:val="005E035E"/>
    <w:rsid w:val="005E04BB"/>
    <w:rsid w:val="005E15E7"/>
    <w:rsid w:val="005E37CD"/>
    <w:rsid w:val="005F1664"/>
    <w:rsid w:val="005F40C3"/>
    <w:rsid w:val="005F41C1"/>
    <w:rsid w:val="005F52BC"/>
    <w:rsid w:val="005F5574"/>
    <w:rsid w:val="005F7051"/>
    <w:rsid w:val="00606738"/>
    <w:rsid w:val="00606E83"/>
    <w:rsid w:val="00607DF6"/>
    <w:rsid w:val="00610D6F"/>
    <w:rsid w:val="0063427D"/>
    <w:rsid w:val="006363AC"/>
    <w:rsid w:val="00640BEA"/>
    <w:rsid w:val="006432FB"/>
    <w:rsid w:val="00653223"/>
    <w:rsid w:val="0065684B"/>
    <w:rsid w:val="006701FD"/>
    <w:rsid w:val="0067220D"/>
    <w:rsid w:val="00673E5E"/>
    <w:rsid w:val="00674C38"/>
    <w:rsid w:val="0067581E"/>
    <w:rsid w:val="006771CA"/>
    <w:rsid w:val="00680125"/>
    <w:rsid w:val="006860A5"/>
    <w:rsid w:val="00690C1C"/>
    <w:rsid w:val="00696B59"/>
    <w:rsid w:val="006A3316"/>
    <w:rsid w:val="006A33A6"/>
    <w:rsid w:val="006A3E7A"/>
    <w:rsid w:val="006A6B5B"/>
    <w:rsid w:val="006A6EFA"/>
    <w:rsid w:val="006B0A87"/>
    <w:rsid w:val="006B1BE2"/>
    <w:rsid w:val="006B3FC3"/>
    <w:rsid w:val="006C6B1E"/>
    <w:rsid w:val="006D2310"/>
    <w:rsid w:val="006D2B6B"/>
    <w:rsid w:val="006D68F6"/>
    <w:rsid w:val="006D7025"/>
    <w:rsid w:val="006E2160"/>
    <w:rsid w:val="006E3BBF"/>
    <w:rsid w:val="006E4264"/>
    <w:rsid w:val="006E5452"/>
    <w:rsid w:val="006E6617"/>
    <w:rsid w:val="006F2EF1"/>
    <w:rsid w:val="006F3D7C"/>
    <w:rsid w:val="006F4DE1"/>
    <w:rsid w:val="006F50EB"/>
    <w:rsid w:val="006F5E8A"/>
    <w:rsid w:val="006F6F55"/>
    <w:rsid w:val="006F73E3"/>
    <w:rsid w:val="00700A85"/>
    <w:rsid w:val="00705324"/>
    <w:rsid w:val="00716EEA"/>
    <w:rsid w:val="0071740B"/>
    <w:rsid w:val="00720CD4"/>
    <w:rsid w:val="00725AC7"/>
    <w:rsid w:val="00725E78"/>
    <w:rsid w:val="00726968"/>
    <w:rsid w:val="00727202"/>
    <w:rsid w:val="00727311"/>
    <w:rsid w:val="007317D0"/>
    <w:rsid w:val="00736525"/>
    <w:rsid w:val="007400CC"/>
    <w:rsid w:val="00753F4A"/>
    <w:rsid w:val="00755647"/>
    <w:rsid w:val="00762F07"/>
    <w:rsid w:val="007630C3"/>
    <w:rsid w:val="00764A2D"/>
    <w:rsid w:val="00787CBD"/>
    <w:rsid w:val="0079179B"/>
    <w:rsid w:val="0079463B"/>
    <w:rsid w:val="00797171"/>
    <w:rsid w:val="007A0265"/>
    <w:rsid w:val="007A334B"/>
    <w:rsid w:val="007A5633"/>
    <w:rsid w:val="007B4729"/>
    <w:rsid w:val="007B5101"/>
    <w:rsid w:val="007B5B43"/>
    <w:rsid w:val="007B5B69"/>
    <w:rsid w:val="007C591D"/>
    <w:rsid w:val="007D1DC1"/>
    <w:rsid w:val="007E4417"/>
    <w:rsid w:val="007E493C"/>
    <w:rsid w:val="007F18A6"/>
    <w:rsid w:val="007F2714"/>
    <w:rsid w:val="0080590F"/>
    <w:rsid w:val="00806BED"/>
    <w:rsid w:val="00810A43"/>
    <w:rsid w:val="0081180A"/>
    <w:rsid w:val="0081632C"/>
    <w:rsid w:val="00817A91"/>
    <w:rsid w:val="00823D15"/>
    <w:rsid w:val="00824BD3"/>
    <w:rsid w:val="008400DF"/>
    <w:rsid w:val="00843084"/>
    <w:rsid w:val="008438B1"/>
    <w:rsid w:val="00846C06"/>
    <w:rsid w:val="0085167D"/>
    <w:rsid w:val="00863119"/>
    <w:rsid w:val="008644DC"/>
    <w:rsid w:val="00875168"/>
    <w:rsid w:val="008850D2"/>
    <w:rsid w:val="00886362"/>
    <w:rsid w:val="00891B64"/>
    <w:rsid w:val="00894F28"/>
    <w:rsid w:val="008A1416"/>
    <w:rsid w:val="008A2A3A"/>
    <w:rsid w:val="008B1FB7"/>
    <w:rsid w:val="008B208B"/>
    <w:rsid w:val="008B472D"/>
    <w:rsid w:val="008B72B5"/>
    <w:rsid w:val="008B7DC8"/>
    <w:rsid w:val="008C3FAC"/>
    <w:rsid w:val="008C68BA"/>
    <w:rsid w:val="008D0F1E"/>
    <w:rsid w:val="008E483C"/>
    <w:rsid w:val="008E4936"/>
    <w:rsid w:val="008E4C8D"/>
    <w:rsid w:val="008F15A4"/>
    <w:rsid w:val="008F18AF"/>
    <w:rsid w:val="008F57F1"/>
    <w:rsid w:val="008F5E23"/>
    <w:rsid w:val="009001EF"/>
    <w:rsid w:val="009022F9"/>
    <w:rsid w:val="009023AC"/>
    <w:rsid w:val="009027D1"/>
    <w:rsid w:val="00916143"/>
    <w:rsid w:val="0092064F"/>
    <w:rsid w:val="00923C4C"/>
    <w:rsid w:val="00933D6F"/>
    <w:rsid w:val="00935107"/>
    <w:rsid w:val="00935BC6"/>
    <w:rsid w:val="00936FE0"/>
    <w:rsid w:val="00942070"/>
    <w:rsid w:val="00943264"/>
    <w:rsid w:val="009434DB"/>
    <w:rsid w:val="00944D64"/>
    <w:rsid w:val="0094629E"/>
    <w:rsid w:val="00947E99"/>
    <w:rsid w:val="0095271F"/>
    <w:rsid w:val="00962776"/>
    <w:rsid w:val="00963368"/>
    <w:rsid w:val="009642EC"/>
    <w:rsid w:val="00964B09"/>
    <w:rsid w:val="00966C0A"/>
    <w:rsid w:val="00970CD2"/>
    <w:rsid w:val="00972C32"/>
    <w:rsid w:val="009743CB"/>
    <w:rsid w:val="00974CB1"/>
    <w:rsid w:val="00976906"/>
    <w:rsid w:val="00983408"/>
    <w:rsid w:val="00984688"/>
    <w:rsid w:val="00987C09"/>
    <w:rsid w:val="009926CD"/>
    <w:rsid w:val="00992D05"/>
    <w:rsid w:val="00993718"/>
    <w:rsid w:val="00997527"/>
    <w:rsid w:val="009A28D0"/>
    <w:rsid w:val="009A5A09"/>
    <w:rsid w:val="009A67AA"/>
    <w:rsid w:val="009A6935"/>
    <w:rsid w:val="009B1FDE"/>
    <w:rsid w:val="009B2428"/>
    <w:rsid w:val="009B723D"/>
    <w:rsid w:val="009C25E9"/>
    <w:rsid w:val="009C5B2C"/>
    <w:rsid w:val="009C755C"/>
    <w:rsid w:val="009D1929"/>
    <w:rsid w:val="009D3AD6"/>
    <w:rsid w:val="009D40E2"/>
    <w:rsid w:val="00A0307C"/>
    <w:rsid w:val="00A050CE"/>
    <w:rsid w:val="00A05C20"/>
    <w:rsid w:val="00A06719"/>
    <w:rsid w:val="00A12964"/>
    <w:rsid w:val="00A13278"/>
    <w:rsid w:val="00A16C5B"/>
    <w:rsid w:val="00A2086B"/>
    <w:rsid w:val="00A22686"/>
    <w:rsid w:val="00A2683C"/>
    <w:rsid w:val="00A31CBC"/>
    <w:rsid w:val="00A32911"/>
    <w:rsid w:val="00A34774"/>
    <w:rsid w:val="00A35993"/>
    <w:rsid w:val="00A410D6"/>
    <w:rsid w:val="00A43698"/>
    <w:rsid w:val="00A44FF9"/>
    <w:rsid w:val="00A61DD0"/>
    <w:rsid w:val="00A63104"/>
    <w:rsid w:val="00A63638"/>
    <w:rsid w:val="00A675C8"/>
    <w:rsid w:val="00A6765C"/>
    <w:rsid w:val="00A71448"/>
    <w:rsid w:val="00A71E9A"/>
    <w:rsid w:val="00A732B7"/>
    <w:rsid w:val="00A73699"/>
    <w:rsid w:val="00A751EC"/>
    <w:rsid w:val="00A76611"/>
    <w:rsid w:val="00A823CC"/>
    <w:rsid w:val="00A8684C"/>
    <w:rsid w:val="00A8775C"/>
    <w:rsid w:val="00A91033"/>
    <w:rsid w:val="00A9628A"/>
    <w:rsid w:val="00AA56A2"/>
    <w:rsid w:val="00AA673F"/>
    <w:rsid w:val="00AB2EF8"/>
    <w:rsid w:val="00AB4AF0"/>
    <w:rsid w:val="00AB5BAE"/>
    <w:rsid w:val="00AB5F06"/>
    <w:rsid w:val="00AC1C96"/>
    <w:rsid w:val="00AC28F7"/>
    <w:rsid w:val="00AC2D40"/>
    <w:rsid w:val="00AC55BA"/>
    <w:rsid w:val="00AC7B68"/>
    <w:rsid w:val="00AC7D99"/>
    <w:rsid w:val="00AD2219"/>
    <w:rsid w:val="00AD3E36"/>
    <w:rsid w:val="00AD4547"/>
    <w:rsid w:val="00AD5A00"/>
    <w:rsid w:val="00AE2A54"/>
    <w:rsid w:val="00AE560F"/>
    <w:rsid w:val="00AE6A2F"/>
    <w:rsid w:val="00AF0525"/>
    <w:rsid w:val="00AF24C6"/>
    <w:rsid w:val="00AF5B42"/>
    <w:rsid w:val="00B01168"/>
    <w:rsid w:val="00B01FB7"/>
    <w:rsid w:val="00B025EB"/>
    <w:rsid w:val="00B03B0B"/>
    <w:rsid w:val="00B05373"/>
    <w:rsid w:val="00B06A7F"/>
    <w:rsid w:val="00B137FF"/>
    <w:rsid w:val="00B147FA"/>
    <w:rsid w:val="00B14CD1"/>
    <w:rsid w:val="00B16D6C"/>
    <w:rsid w:val="00B1717F"/>
    <w:rsid w:val="00B332CA"/>
    <w:rsid w:val="00B35E18"/>
    <w:rsid w:val="00B36233"/>
    <w:rsid w:val="00B36B30"/>
    <w:rsid w:val="00B376C8"/>
    <w:rsid w:val="00B37A52"/>
    <w:rsid w:val="00B4021B"/>
    <w:rsid w:val="00B43102"/>
    <w:rsid w:val="00B43617"/>
    <w:rsid w:val="00B4604A"/>
    <w:rsid w:val="00B461C1"/>
    <w:rsid w:val="00B47F2F"/>
    <w:rsid w:val="00B51189"/>
    <w:rsid w:val="00B51A51"/>
    <w:rsid w:val="00B5276A"/>
    <w:rsid w:val="00B5384C"/>
    <w:rsid w:val="00B54995"/>
    <w:rsid w:val="00B56950"/>
    <w:rsid w:val="00B66B8B"/>
    <w:rsid w:val="00B70258"/>
    <w:rsid w:val="00B73C6B"/>
    <w:rsid w:val="00B74EC7"/>
    <w:rsid w:val="00B773D8"/>
    <w:rsid w:val="00B85D2D"/>
    <w:rsid w:val="00B8740F"/>
    <w:rsid w:val="00B9002C"/>
    <w:rsid w:val="00B916F4"/>
    <w:rsid w:val="00B926A7"/>
    <w:rsid w:val="00B93F90"/>
    <w:rsid w:val="00BA0782"/>
    <w:rsid w:val="00BA0CB2"/>
    <w:rsid w:val="00BA5216"/>
    <w:rsid w:val="00BC173B"/>
    <w:rsid w:val="00BC3577"/>
    <w:rsid w:val="00BD2244"/>
    <w:rsid w:val="00BD2F54"/>
    <w:rsid w:val="00BD3959"/>
    <w:rsid w:val="00BE3112"/>
    <w:rsid w:val="00BE4433"/>
    <w:rsid w:val="00BE7331"/>
    <w:rsid w:val="00BF5B74"/>
    <w:rsid w:val="00C017F5"/>
    <w:rsid w:val="00C0564F"/>
    <w:rsid w:val="00C05F21"/>
    <w:rsid w:val="00C11E70"/>
    <w:rsid w:val="00C1300E"/>
    <w:rsid w:val="00C13AB2"/>
    <w:rsid w:val="00C157E2"/>
    <w:rsid w:val="00C15FE4"/>
    <w:rsid w:val="00C1795F"/>
    <w:rsid w:val="00C21EDB"/>
    <w:rsid w:val="00C24C02"/>
    <w:rsid w:val="00C308D0"/>
    <w:rsid w:val="00C3245A"/>
    <w:rsid w:val="00C42499"/>
    <w:rsid w:val="00C42F35"/>
    <w:rsid w:val="00C4502A"/>
    <w:rsid w:val="00C53CC0"/>
    <w:rsid w:val="00C56E8C"/>
    <w:rsid w:val="00C6671C"/>
    <w:rsid w:val="00C6673E"/>
    <w:rsid w:val="00C67C64"/>
    <w:rsid w:val="00C724D7"/>
    <w:rsid w:val="00C72CC8"/>
    <w:rsid w:val="00C83685"/>
    <w:rsid w:val="00C85E84"/>
    <w:rsid w:val="00C94FC8"/>
    <w:rsid w:val="00CA4AF1"/>
    <w:rsid w:val="00CA65C5"/>
    <w:rsid w:val="00CB1338"/>
    <w:rsid w:val="00CB2D70"/>
    <w:rsid w:val="00CB453B"/>
    <w:rsid w:val="00CC586D"/>
    <w:rsid w:val="00CC6EBA"/>
    <w:rsid w:val="00CC7C25"/>
    <w:rsid w:val="00CD2FD0"/>
    <w:rsid w:val="00CD35E2"/>
    <w:rsid w:val="00CD52D0"/>
    <w:rsid w:val="00CD5BB8"/>
    <w:rsid w:val="00CE0A9C"/>
    <w:rsid w:val="00CE21AD"/>
    <w:rsid w:val="00CE2E8E"/>
    <w:rsid w:val="00CE4549"/>
    <w:rsid w:val="00CE62E3"/>
    <w:rsid w:val="00CE65B2"/>
    <w:rsid w:val="00CE6831"/>
    <w:rsid w:val="00CF317A"/>
    <w:rsid w:val="00CF32A9"/>
    <w:rsid w:val="00CF389E"/>
    <w:rsid w:val="00CF3A5D"/>
    <w:rsid w:val="00CF5097"/>
    <w:rsid w:val="00CF50A0"/>
    <w:rsid w:val="00D00662"/>
    <w:rsid w:val="00D044B4"/>
    <w:rsid w:val="00D06261"/>
    <w:rsid w:val="00D160E2"/>
    <w:rsid w:val="00D17F6F"/>
    <w:rsid w:val="00D2018D"/>
    <w:rsid w:val="00D248AC"/>
    <w:rsid w:val="00D24A88"/>
    <w:rsid w:val="00D34972"/>
    <w:rsid w:val="00D367E8"/>
    <w:rsid w:val="00D36994"/>
    <w:rsid w:val="00D403C9"/>
    <w:rsid w:val="00D4656A"/>
    <w:rsid w:val="00D46CD1"/>
    <w:rsid w:val="00D54370"/>
    <w:rsid w:val="00D55D37"/>
    <w:rsid w:val="00D66600"/>
    <w:rsid w:val="00D67339"/>
    <w:rsid w:val="00D7110E"/>
    <w:rsid w:val="00D717DE"/>
    <w:rsid w:val="00D830D2"/>
    <w:rsid w:val="00D84D53"/>
    <w:rsid w:val="00D84F06"/>
    <w:rsid w:val="00D862E4"/>
    <w:rsid w:val="00D87717"/>
    <w:rsid w:val="00D91A98"/>
    <w:rsid w:val="00D924F2"/>
    <w:rsid w:val="00D94398"/>
    <w:rsid w:val="00DA39C0"/>
    <w:rsid w:val="00DA78E2"/>
    <w:rsid w:val="00DB284F"/>
    <w:rsid w:val="00DC0AF5"/>
    <w:rsid w:val="00DC34DB"/>
    <w:rsid w:val="00DC5913"/>
    <w:rsid w:val="00DD2356"/>
    <w:rsid w:val="00DE21CB"/>
    <w:rsid w:val="00DE22B1"/>
    <w:rsid w:val="00DE5F2D"/>
    <w:rsid w:val="00DE6883"/>
    <w:rsid w:val="00DE70E9"/>
    <w:rsid w:val="00DF16EC"/>
    <w:rsid w:val="00DF54BE"/>
    <w:rsid w:val="00DF6038"/>
    <w:rsid w:val="00DF654A"/>
    <w:rsid w:val="00E00637"/>
    <w:rsid w:val="00E00B48"/>
    <w:rsid w:val="00E03987"/>
    <w:rsid w:val="00E03B11"/>
    <w:rsid w:val="00E04CC4"/>
    <w:rsid w:val="00E065AB"/>
    <w:rsid w:val="00E06833"/>
    <w:rsid w:val="00E165CB"/>
    <w:rsid w:val="00E212BE"/>
    <w:rsid w:val="00E213A0"/>
    <w:rsid w:val="00E21442"/>
    <w:rsid w:val="00E2334A"/>
    <w:rsid w:val="00E2358E"/>
    <w:rsid w:val="00E24A33"/>
    <w:rsid w:val="00E30D90"/>
    <w:rsid w:val="00E47E22"/>
    <w:rsid w:val="00E574C3"/>
    <w:rsid w:val="00E66228"/>
    <w:rsid w:val="00E666B2"/>
    <w:rsid w:val="00E66E36"/>
    <w:rsid w:val="00E6752F"/>
    <w:rsid w:val="00E73B3F"/>
    <w:rsid w:val="00E76F1C"/>
    <w:rsid w:val="00E8157C"/>
    <w:rsid w:val="00E84558"/>
    <w:rsid w:val="00E865E5"/>
    <w:rsid w:val="00E86B53"/>
    <w:rsid w:val="00E93555"/>
    <w:rsid w:val="00EA2457"/>
    <w:rsid w:val="00EA5D96"/>
    <w:rsid w:val="00EA61F5"/>
    <w:rsid w:val="00EB27A7"/>
    <w:rsid w:val="00EB2808"/>
    <w:rsid w:val="00EC7DF8"/>
    <w:rsid w:val="00ED0981"/>
    <w:rsid w:val="00ED330E"/>
    <w:rsid w:val="00ED3BF7"/>
    <w:rsid w:val="00ED57C1"/>
    <w:rsid w:val="00ED7851"/>
    <w:rsid w:val="00EF0116"/>
    <w:rsid w:val="00EF2CD8"/>
    <w:rsid w:val="00EF41C7"/>
    <w:rsid w:val="00F01429"/>
    <w:rsid w:val="00F030C1"/>
    <w:rsid w:val="00F05ECB"/>
    <w:rsid w:val="00F07E9B"/>
    <w:rsid w:val="00F107D2"/>
    <w:rsid w:val="00F17B6B"/>
    <w:rsid w:val="00F2035C"/>
    <w:rsid w:val="00F248F1"/>
    <w:rsid w:val="00F25FE8"/>
    <w:rsid w:val="00F36315"/>
    <w:rsid w:val="00F41770"/>
    <w:rsid w:val="00F50789"/>
    <w:rsid w:val="00F51B1E"/>
    <w:rsid w:val="00F55C53"/>
    <w:rsid w:val="00F57E8A"/>
    <w:rsid w:val="00F6271F"/>
    <w:rsid w:val="00F62C3A"/>
    <w:rsid w:val="00F64B73"/>
    <w:rsid w:val="00F65C9F"/>
    <w:rsid w:val="00F708F0"/>
    <w:rsid w:val="00F80309"/>
    <w:rsid w:val="00F81858"/>
    <w:rsid w:val="00F92BB0"/>
    <w:rsid w:val="00F92C32"/>
    <w:rsid w:val="00F9417E"/>
    <w:rsid w:val="00FB165C"/>
    <w:rsid w:val="00FB5075"/>
    <w:rsid w:val="00FB7D01"/>
    <w:rsid w:val="00FC6097"/>
    <w:rsid w:val="00FD0646"/>
    <w:rsid w:val="00FD4507"/>
    <w:rsid w:val="00FD4996"/>
    <w:rsid w:val="00FD5215"/>
    <w:rsid w:val="00FD5BAF"/>
    <w:rsid w:val="00FD700F"/>
    <w:rsid w:val="00FD7862"/>
    <w:rsid w:val="00FE1226"/>
    <w:rsid w:val="00FF0353"/>
    <w:rsid w:val="00FF41AE"/>
    <w:rsid w:val="00FF6D2B"/>
    <w:rsid w:val="00FF6D74"/>
    <w:rsid w:val="00FF700B"/>
    <w:rsid w:val="00FF724D"/>
    <w:rsid w:val="2D7F7A9E"/>
    <w:rsid w:val="330716F4"/>
    <w:rsid w:val="33E01D81"/>
    <w:rsid w:val="42742C0F"/>
    <w:rsid w:val="49AE694A"/>
    <w:rsid w:val="4B7C4FC6"/>
    <w:rsid w:val="4E10341C"/>
    <w:rsid w:val="569C00F0"/>
    <w:rsid w:val="5C11189C"/>
    <w:rsid w:val="606A5CBE"/>
    <w:rsid w:val="61041D42"/>
    <w:rsid w:val="763C7BF7"/>
    <w:rsid w:val="783C2A5E"/>
    <w:rsid w:val="7E9300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firstLineChars="100"/>
    </w:pPr>
    <w:rPr>
      <w:rFonts w:ascii="微软雅黑" w:hAnsi="微软雅黑" w:eastAsia="微软雅黑" w:cs="微软雅黑"/>
      <w:szCs w:val="21"/>
    </w:rPr>
  </w:style>
  <w:style w:type="paragraph" w:styleId="3">
    <w:name w:val="Body Text"/>
    <w:basedOn w:val="1"/>
    <w:qFormat/>
    <w:uiPriority w:val="0"/>
    <w:pPr>
      <w:spacing w:after="120"/>
    </w:pPr>
  </w:style>
  <w:style w:type="paragraph" w:styleId="4">
    <w:name w:val="annotation subject"/>
    <w:basedOn w:val="5"/>
    <w:next w:val="5"/>
    <w:link w:val="23"/>
    <w:semiHidden/>
    <w:qFormat/>
    <w:uiPriority w:val="99"/>
    <w:rPr>
      <w:rFonts w:ascii="Calibri" w:hAnsi="Calibri"/>
      <w:b/>
      <w:bCs/>
      <w:szCs w:val="22"/>
      <w:lang w:val="en-US"/>
    </w:rPr>
  </w:style>
  <w:style w:type="paragraph" w:styleId="5">
    <w:name w:val="annotation text"/>
    <w:basedOn w:val="1"/>
    <w:link w:val="15"/>
    <w:qFormat/>
    <w:uiPriority w:val="99"/>
    <w:pPr>
      <w:jc w:val="left"/>
    </w:pPr>
    <w:rPr>
      <w:rFonts w:ascii="Times New Roman" w:hAnsi="Times New Roman"/>
      <w:szCs w:val="24"/>
      <w:lang w:val="zh-CN"/>
    </w:rPr>
  </w:style>
  <w:style w:type="paragraph" w:styleId="6">
    <w:name w:val="Balloon Text"/>
    <w:basedOn w:val="1"/>
    <w:link w:val="16"/>
    <w:qFormat/>
    <w:uiPriority w:val="99"/>
    <w:rPr>
      <w:rFonts w:ascii="Heiti SC Light" w:eastAsia="Times New Roman"/>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olor w:val="000066"/>
      <w:kern w:val="0"/>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qFormat/>
    <w:uiPriority w:val="99"/>
    <w:rPr>
      <w:rFonts w:cs="Times New Roman"/>
      <w:sz w:val="21"/>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文字 Char"/>
    <w:basedOn w:val="10"/>
    <w:link w:val="5"/>
    <w:qFormat/>
    <w:locked/>
    <w:uiPriority w:val="99"/>
    <w:rPr>
      <w:rFonts w:ascii="Times New Roman" w:hAnsi="Times New Roman" w:eastAsia="宋体" w:cs="Times New Roman"/>
      <w:sz w:val="24"/>
      <w:szCs w:val="24"/>
      <w:lang w:val="zh-CN" w:eastAsia="zh-CN"/>
    </w:rPr>
  </w:style>
  <w:style w:type="character" w:customStyle="1" w:styleId="16">
    <w:name w:val="批注框文本 Char"/>
    <w:basedOn w:val="10"/>
    <w:link w:val="6"/>
    <w:semiHidden/>
    <w:qFormat/>
    <w:locked/>
    <w:uiPriority w:val="99"/>
    <w:rPr>
      <w:rFonts w:ascii="Heiti SC Light" w:eastAsia="Times New Roman" w:cs="Times New Roman"/>
      <w:sz w:val="18"/>
      <w:szCs w:val="18"/>
    </w:rPr>
  </w:style>
  <w:style w:type="character" w:customStyle="1" w:styleId="17">
    <w:name w:val="页脚 Char"/>
    <w:basedOn w:val="10"/>
    <w:link w:val="7"/>
    <w:qFormat/>
    <w:locked/>
    <w:uiPriority w:val="99"/>
    <w:rPr>
      <w:rFonts w:cs="Times New Roman"/>
      <w:sz w:val="18"/>
      <w:szCs w:val="18"/>
    </w:rPr>
  </w:style>
  <w:style w:type="character" w:customStyle="1" w:styleId="18">
    <w:name w:val="页眉 Char"/>
    <w:basedOn w:val="10"/>
    <w:link w:val="8"/>
    <w:qFormat/>
    <w:locked/>
    <w:uiPriority w:val="99"/>
    <w:rPr>
      <w:rFonts w:cs="Times New Roman"/>
      <w:sz w:val="18"/>
      <w:szCs w:val="18"/>
    </w:rPr>
  </w:style>
  <w:style w:type="paragraph" w:customStyle="1" w:styleId="19">
    <w:name w:val="Pa4"/>
    <w:basedOn w:val="1"/>
    <w:next w:val="1"/>
    <w:qFormat/>
    <w:uiPriority w:val="99"/>
    <w:pPr>
      <w:autoSpaceDE w:val="0"/>
      <w:autoSpaceDN w:val="0"/>
      <w:adjustRightInd w:val="0"/>
      <w:spacing w:line="301" w:lineRule="atLeast"/>
      <w:jc w:val="left"/>
    </w:pPr>
    <w:rPr>
      <w:rFonts w:ascii="OEEEEV+FZHTJW--GB1-0" w:eastAsia="OEEEEV+FZHTJW--GB1-0"/>
      <w:kern w:val="0"/>
      <w:sz w:val="24"/>
      <w:szCs w:val="24"/>
    </w:rPr>
  </w:style>
  <w:style w:type="paragraph" w:customStyle="1" w:styleId="20">
    <w:name w:val="列出段落1"/>
    <w:basedOn w:val="1"/>
    <w:qFormat/>
    <w:uiPriority w:val="99"/>
    <w:pPr>
      <w:ind w:firstLine="420" w:firstLineChars="200"/>
    </w:pPr>
  </w:style>
  <w:style w:type="character" w:customStyle="1" w:styleId="21">
    <w:name w:val="5-内文 Char"/>
    <w:link w:val="22"/>
    <w:qFormat/>
    <w:locked/>
    <w:uiPriority w:val="99"/>
    <w:rPr>
      <w:rFonts w:eastAsia="仿宋_GB2312"/>
      <w:sz w:val="28"/>
    </w:rPr>
  </w:style>
  <w:style w:type="paragraph" w:customStyle="1" w:styleId="22">
    <w:name w:val="5-内文"/>
    <w:basedOn w:val="1"/>
    <w:link w:val="21"/>
    <w:qFormat/>
    <w:uiPriority w:val="99"/>
    <w:pPr>
      <w:spacing w:beforeLines="25" w:afterLines="25" w:line="300" w:lineRule="auto"/>
      <w:ind w:firstLine="200" w:firstLineChars="200"/>
    </w:pPr>
    <w:rPr>
      <w:rFonts w:eastAsia="仿宋_GB2312"/>
      <w:kern w:val="0"/>
      <w:sz w:val="28"/>
      <w:szCs w:val="20"/>
    </w:rPr>
  </w:style>
  <w:style w:type="character" w:customStyle="1" w:styleId="23">
    <w:name w:val="批注主题 Char"/>
    <w:basedOn w:val="15"/>
    <w:link w:val="4"/>
    <w:semiHidden/>
    <w:qFormat/>
    <w:locked/>
    <w:uiPriority w:val="99"/>
    <w:rPr>
      <w:rFonts w:ascii="Times New Roman" w:hAnsi="Times New Roman" w:eastAsia="宋体" w:cs="Times New Roman"/>
      <w:b/>
      <w:bCs/>
      <w:sz w:val="24"/>
      <w:szCs w:val="24"/>
      <w:lang w:val="zh-CN" w:eastAsia="zh-CN"/>
    </w:rPr>
  </w:style>
  <w:style w:type="paragraph" w:customStyle="1" w:styleId="24">
    <w:name w:val="列出段落2"/>
    <w:basedOn w:val="1"/>
    <w:qFormat/>
    <w:uiPriority w:val="34"/>
    <w:pPr>
      <w:ind w:firstLine="420" w:firstLineChars="200"/>
    </w:p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2763C8-FB3E-4C5F-9B42-33AB6D8F62EF}">
  <ds:schemaRefs/>
</ds:datastoreItem>
</file>

<file path=docProps/app.xml><?xml version="1.0" encoding="utf-8"?>
<Properties xmlns="http://schemas.openxmlformats.org/officeDocument/2006/extended-properties" xmlns:vt="http://schemas.openxmlformats.org/officeDocument/2006/docPropsVTypes">
  <Template>Normal</Template>
  <Pages>25</Pages>
  <Words>1998</Words>
  <Characters>11394</Characters>
  <Lines>94</Lines>
  <Paragraphs>26</Paragraphs>
  <TotalTime>43</TotalTime>
  <ScaleCrop>false</ScaleCrop>
  <LinksUpToDate>false</LinksUpToDate>
  <CharactersWithSpaces>13366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2018-11-19T01:44:00Z</dcterms:created>
  <dc:creator>apple</dc:creator>
  <cp:lastModifiedBy>lenovo</cp:lastModifiedBy>
  <dcterms:modified xsi:type="dcterms:W3CDTF">2018-11-19T03:08:05Z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